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B3418A" w14:textId="77777777" w:rsidR="00F62BBA" w:rsidRPr="008E0C78" w:rsidRDefault="002350B7" w:rsidP="004B4D33">
      <w:pPr>
        <w:spacing w:after="0" w:line="360" w:lineRule="auto"/>
        <w:jc w:val="center"/>
        <w:rPr>
          <w:rFonts w:ascii="Times New Roman" w:hAnsi="Times New Roman" w:cs="Times New Roman"/>
          <w:b/>
          <w:sz w:val="48"/>
          <w:szCs w:val="48"/>
          <w:u w:val="single"/>
        </w:rPr>
      </w:pPr>
      <w:r w:rsidRPr="008E0C78">
        <w:rPr>
          <w:rFonts w:ascii="Times New Roman" w:hAnsi="Times New Roman" w:cs="Times New Roman"/>
          <w:b/>
          <w:sz w:val="48"/>
          <w:szCs w:val="48"/>
          <w:u w:val="single"/>
        </w:rPr>
        <w:t>ЗАДАНИЕ</w:t>
      </w:r>
    </w:p>
    <w:p w14:paraId="78E635AD" w14:textId="77777777" w:rsidR="002350B7" w:rsidRPr="008E0C78" w:rsidRDefault="00FD1B51" w:rsidP="004B4D33">
      <w:pPr>
        <w:spacing w:after="0" w:line="360" w:lineRule="auto"/>
        <w:jc w:val="center"/>
        <w:rPr>
          <w:rFonts w:ascii="Times New Roman" w:hAnsi="Times New Roman" w:cs="Times New Roman"/>
          <w:sz w:val="28"/>
          <w:szCs w:val="28"/>
        </w:rPr>
      </w:pPr>
      <w:r w:rsidRPr="008E0C78">
        <w:rPr>
          <w:rFonts w:ascii="Times New Roman" w:hAnsi="Times New Roman" w:cs="Times New Roman"/>
          <w:sz w:val="28"/>
          <w:szCs w:val="28"/>
        </w:rPr>
        <w:t>з</w:t>
      </w:r>
      <w:r w:rsidR="002350B7" w:rsidRPr="008E0C78">
        <w:rPr>
          <w:rFonts w:ascii="Times New Roman" w:hAnsi="Times New Roman" w:cs="Times New Roman"/>
          <w:sz w:val="28"/>
          <w:szCs w:val="28"/>
        </w:rPr>
        <w:t xml:space="preserve">а определяне на обхвата </w:t>
      </w:r>
      <w:r w:rsidR="007974B4" w:rsidRPr="008E0C78">
        <w:rPr>
          <w:rFonts w:ascii="Times New Roman" w:hAnsi="Times New Roman" w:cs="Times New Roman"/>
          <w:sz w:val="28"/>
          <w:szCs w:val="28"/>
        </w:rPr>
        <w:t>и съдържанието</w:t>
      </w:r>
      <w:r w:rsidR="00A861C9" w:rsidRPr="008E0C78">
        <w:rPr>
          <w:rFonts w:ascii="Times New Roman" w:hAnsi="Times New Roman" w:cs="Times New Roman"/>
          <w:sz w:val="28"/>
          <w:szCs w:val="28"/>
        </w:rPr>
        <w:t xml:space="preserve"> </w:t>
      </w:r>
      <w:r w:rsidR="000A01F5" w:rsidRPr="008E0C78">
        <w:rPr>
          <w:rFonts w:ascii="Times New Roman" w:hAnsi="Times New Roman" w:cs="Times New Roman"/>
          <w:sz w:val="28"/>
          <w:szCs w:val="28"/>
        </w:rPr>
        <w:t>на Доклад</w:t>
      </w:r>
      <w:r w:rsidR="002350B7" w:rsidRPr="008E0C78">
        <w:rPr>
          <w:rFonts w:ascii="Times New Roman" w:hAnsi="Times New Roman" w:cs="Times New Roman"/>
          <w:sz w:val="28"/>
          <w:szCs w:val="28"/>
        </w:rPr>
        <w:t xml:space="preserve"> за Екологична оценка на проект на</w:t>
      </w:r>
    </w:p>
    <w:p w14:paraId="32A63971" w14:textId="77777777" w:rsidR="008E0C78" w:rsidRPr="008E0C78" w:rsidRDefault="008E0C78" w:rsidP="008E0C78">
      <w:pPr>
        <w:autoSpaceDE w:val="0"/>
        <w:autoSpaceDN w:val="0"/>
        <w:adjustRightInd w:val="0"/>
        <w:spacing w:after="0" w:line="240" w:lineRule="auto"/>
        <w:rPr>
          <w:rFonts w:ascii="Verdana" w:hAnsi="Verdana" w:cs="Verdana"/>
          <w:color w:val="000000"/>
          <w:sz w:val="24"/>
          <w:szCs w:val="24"/>
        </w:rPr>
      </w:pPr>
    </w:p>
    <w:p w14:paraId="2DF666D0" w14:textId="77777777" w:rsidR="008E0C78" w:rsidRPr="008E0C78" w:rsidRDefault="008E0C78" w:rsidP="008E0C78">
      <w:pPr>
        <w:autoSpaceDE w:val="0"/>
        <w:autoSpaceDN w:val="0"/>
        <w:adjustRightInd w:val="0"/>
        <w:spacing w:after="0" w:line="240" w:lineRule="auto"/>
        <w:jc w:val="center"/>
        <w:rPr>
          <w:rFonts w:ascii="Times New Roman" w:hAnsi="Times New Roman" w:cs="Times New Roman"/>
          <w:sz w:val="40"/>
          <w:szCs w:val="40"/>
        </w:rPr>
      </w:pPr>
      <w:r w:rsidRPr="008E0C78">
        <w:rPr>
          <w:rFonts w:ascii="Times New Roman" w:hAnsi="Times New Roman" w:cs="Times New Roman"/>
          <w:b/>
          <w:bCs/>
          <w:sz w:val="40"/>
          <w:szCs w:val="40"/>
        </w:rPr>
        <w:t>ИНТЕГРИРАН ПЛАН</w:t>
      </w:r>
    </w:p>
    <w:p w14:paraId="60D30D55" w14:textId="77777777" w:rsidR="008E0C78" w:rsidRPr="008E0C78" w:rsidRDefault="008E0C78" w:rsidP="008E0C78">
      <w:pPr>
        <w:autoSpaceDE w:val="0"/>
        <w:autoSpaceDN w:val="0"/>
        <w:adjustRightInd w:val="0"/>
        <w:spacing w:after="0" w:line="240" w:lineRule="auto"/>
        <w:jc w:val="center"/>
        <w:rPr>
          <w:rFonts w:ascii="Times New Roman" w:hAnsi="Times New Roman" w:cs="Times New Roman"/>
          <w:sz w:val="40"/>
          <w:szCs w:val="40"/>
        </w:rPr>
      </w:pPr>
      <w:r w:rsidRPr="008E0C78">
        <w:rPr>
          <w:rFonts w:ascii="Times New Roman" w:hAnsi="Times New Roman" w:cs="Times New Roman"/>
          <w:b/>
          <w:bCs/>
          <w:sz w:val="40"/>
          <w:szCs w:val="40"/>
        </w:rPr>
        <w:t>В ОБЛАСТТА НА ЕНЕРГЕТИКАТА И КЛИМАТА</w:t>
      </w:r>
      <w:r>
        <w:rPr>
          <w:rFonts w:ascii="Times New Roman" w:hAnsi="Times New Roman" w:cs="Times New Roman"/>
          <w:b/>
          <w:bCs/>
          <w:sz w:val="40"/>
          <w:szCs w:val="40"/>
        </w:rPr>
        <w:t xml:space="preserve"> </w:t>
      </w:r>
      <w:r w:rsidRPr="008E0C78">
        <w:rPr>
          <w:rFonts w:ascii="Times New Roman" w:hAnsi="Times New Roman" w:cs="Times New Roman"/>
          <w:b/>
          <w:bCs/>
          <w:sz w:val="40"/>
          <w:szCs w:val="40"/>
        </w:rPr>
        <w:t>НА РЕПУБЛИКА БЪЛГАРИЯ</w:t>
      </w:r>
    </w:p>
    <w:p w14:paraId="1BB35291" w14:textId="77777777" w:rsidR="002350B7" w:rsidRPr="00021F56" w:rsidRDefault="008E0C78" w:rsidP="008E0C78">
      <w:pPr>
        <w:spacing w:after="0" w:line="360" w:lineRule="auto"/>
        <w:jc w:val="center"/>
        <w:rPr>
          <w:rFonts w:ascii="Times New Roman" w:hAnsi="Times New Roman" w:cs="Times New Roman"/>
          <w:b/>
          <w:sz w:val="34"/>
          <w:szCs w:val="34"/>
          <w:lang w:val="en-US"/>
        </w:rPr>
      </w:pPr>
      <w:r w:rsidRPr="008E0C78">
        <w:rPr>
          <w:rFonts w:ascii="Times New Roman" w:hAnsi="Times New Roman" w:cs="Times New Roman"/>
          <w:b/>
          <w:bCs/>
          <w:sz w:val="28"/>
          <w:szCs w:val="28"/>
        </w:rPr>
        <w:t xml:space="preserve">АКТУАЛИЗАЦИЯ 2024 </w:t>
      </w:r>
      <w:r w:rsidRPr="008E0C78">
        <w:rPr>
          <w:rFonts w:ascii="Times New Roman" w:hAnsi="Times New Roman" w:cs="Times New Roman"/>
          <w:b/>
          <w:bCs/>
        </w:rPr>
        <w:t>Г</w:t>
      </w:r>
      <w:r w:rsidRPr="008E0C78">
        <w:rPr>
          <w:rFonts w:ascii="Times New Roman" w:hAnsi="Times New Roman" w:cs="Times New Roman"/>
          <w:b/>
          <w:bCs/>
          <w:sz w:val="28"/>
          <w:szCs w:val="28"/>
        </w:rPr>
        <w:t>.</w:t>
      </w:r>
    </w:p>
    <w:p w14:paraId="4973529A" w14:textId="77777777" w:rsidR="00FC6277" w:rsidRDefault="00FC6277" w:rsidP="003C11E4">
      <w:pPr>
        <w:spacing w:after="0" w:line="240" w:lineRule="auto"/>
        <w:jc w:val="center"/>
        <w:rPr>
          <w:rFonts w:ascii="Times New Roman" w:hAnsi="Times New Roman" w:cs="Times New Roman"/>
          <w:sz w:val="28"/>
          <w:szCs w:val="28"/>
        </w:rPr>
      </w:pPr>
      <w:r w:rsidRPr="003A358E">
        <w:rPr>
          <w:rFonts w:ascii="Times New Roman" w:hAnsi="Times New Roman" w:cs="Times New Roman"/>
          <w:sz w:val="28"/>
          <w:szCs w:val="28"/>
        </w:rPr>
        <w:t>(</w:t>
      </w:r>
      <w:r w:rsidRPr="003A358E">
        <w:rPr>
          <w:rFonts w:ascii="Times New Roman" w:hAnsi="Times New Roman" w:cs="Times New Roman"/>
          <w:i/>
          <w:sz w:val="28"/>
          <w:szCs w:val="28"/>
        </w:rPr>
        <w:t>съгласно чл.19а на Наредбата за условията и реда за извършване на екологична оценка на планове и програми и чл. 86, ал.</w:t>
      </w:r>
      <w:r w:rsidR="003A358E" w:rsidRPr="003A358E">
        <w:rPr>
          <w:rFonts w:ascii="Times New Roman" w:hAnsi="Times New Roman" w:cs="Times New Roman"/>
          <w:i/>
          <w:sz w:val="28"/>
          <w:szCs w:val="28"/>
        </w:rPr>
        <w:t xml:space="preserve"> </w:t>
      </w:r>
      <w:r w:rsidRPr="003A358E">
        <w:rPr>
          <w:rFonts w:ascii="Times New Roman" w:hAnsi="Times New Roman" w:cs="Times New Roman"/>
          <w:i/>
          <w:sz w:val="28"/>
          <w:szCs w:val="28"/>
        </w:rPr>
        <w:t>3 на Закона за опазване на околната среда</w:t>
      </w:r>
      <w:r w:rsidRPr="003A358E">
        <w:rPr>
          <w:rFonts w:ascii="Times New Roman" w:hAnsi="Times New Roman" w:cs="Times New Roman"/>
          <w:sz w:val="28"/>
          <w:szCs w:val="28"/>
        </w:rPr>
        <w:t>)</w:t>
      </w:r>
    </w:p>
    <w:p w14:paraId="6834B430" w14:textId="77777777" w:rsidR="003C11E4" w:rsidRPr="003A358E" w:rsidRDefault="003C11E4" w:rsidP="003C11E4">
      <w:pPr>
        <w:spacing w:after="0" w:line="240" w:lineRule="auto"/>
        <w:jc w:val="center"/>
        <w:rPr>
          <w:rFonts w:ascii="Times New Roman" w:hAnsi="Times New Roman" w:cs="Times New Roman"/>
          <w:sz w:val="28"/>
          <w:szCs w:val="28"/>
        </w:rPr>
      </w:pPr>
    </w:p>
    <w:p w14:paraId="5725D0CB" w14:textId="77777777" w:rsidR="003A358E" w:rsidRPr="003A358E" w:rsidRDefault="003A358E" w:rsidP="007321D0">
      <w:pPr>
        <w:spacing w:after="0" w:line="360" w:lineRule="auto"/>
        <w:jc w:val="center"/>
        <w:rPr>
          <w:rFonts w:ascii="Times New Roman" w:hAnsi="Times New Roman" w:cs="Times New Roman"/>
          <w:sz w:val="28"/>
          <w:szCs w:val="28"/>
        </w:rPr>
      </w:pPr>
      <w:r>
        <w:rPr>
          <w:noProof/>
          <w:lang w:eastAsia="bg-BG"/>
        </w:rPr>
        <w:drawing>
          <wp:inline distT="0" distB="0" distL="0" distR="0" wp14:anchorId="3559AF02" wp14:editId="4C9BA7BB">
            <wp:extent cx="4796839" cy="3614057"/>
            <wp:effectExtent l="19050" t="0" r="3761" b="0"/>
            <wp:docPr id="3" name="Картина 4" descr="Специалност &quot;Отоплителна, вентилационна, климатична и газова техника&quot;  (ОВКГТ) - Технически Университет - Габр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пециалност &quot;Отоплителна, вентилационна, климатична и газова техника&quot;  (ОВКГТ) - Технически Университет - Габрово"/>
                    <pic:cNvPicPr>
                      <a:picLocks noChangeAspect="1" noChangeArrowheads="1"/>
                    </pic:cNvPicPr>
                  </pic:nvPicPr>
                  <pic:blipFill>
                    <a:blip r:embed="rId8" cstate="print"/>
                    <a:srcRect/>
                    <a:stretch>
                      <a:fillRect/>
                    </a:stretch>
                  </pic:blipFill>
                  <pic:spPr bwMode="auto">
                    <a:xfrm>
                      <a:off x="0" y="0"/>
                      <a:ext cx="4802617" cy="3618410"/>
                    </a:xfrm>
                    <a:prstGeom prst="rect">
                      <a:avLst/>
                    </a:prstGeom>
                    <a:noFill/>
                    <a:ln w="9525">
                      <a:noFill/>
                      <a:miter lim="800000"/>
                      <a:headEnd/>
                      <a:tailEnd/>
                    </a:ln>
                  </pic:spPr>
                </pic:pic>
              </a:graphicData>
            </a:graphic>
          </wp:inline>
        </w:drawing>
      </w:r>
    </w:p>
    <w:p w14:paraId="60C7D715" w14:textId="77777777" w:rsidR="00021F56" w:rsidRPr="00021F56" w:rsidRDefault="00021F56" w:rsidP="00A84656">
      <w:pPr>
        <w:spacing w:after="0" w:line="360" w:lineRule="auto"/>
        <w:jc w:val="both"/>
        <w:rPr>
          <w:rFonts w:ascii="Times New Roman" w:hAnsi="Times New Roman" w:cs="Times New Roman"/>
          <w:b/>
          <w:sz w:val="16"/>
          <w:szCs w:val="16"/>
          <w:lang w:val="en-US"/>
        </w:rPr>
      </w:pPr>
    </w:p>
    <w:p w14:paraId="26A3F336" w14:textId="77777777" w:rsidR="00AF7899" w:rsidRDefault="00FC6277" w:rsidP="00AF7899">
      <w:pPr>
        <w:spacing w:after="0" w:line="240" w:lineRule="auto"/>
        <w:jc w:val="both"/>
        <w:rPr>
          <w:rFonts w:ascii="Times New Roman" w:hAnsi="Times New Roman" w:cs="Times New Roman"/>
          <w:b/>
          <w:i/>
          <w:iCs/>
          <w:sz w:val="28"/>
          <w:szCs w:val="28"/>
        </w:rPr>
      </w:pPr>
      <w:r w:rsidRPr="003A358E">
        <w:rPr>
          <w:rFonts w:ascii="Times New Roman" w:hAnsi="Times New Roman" w:cs="Times New Roman"/>
          <w:b/>
          <w:sz w:val="28"/>
          <w:szCs w:val="28"/>
        </w:rPr>
        <w:t>Възложител</w:t>
      </w:r>
      <w:r w:rsidR="00D40142">
        <w:rPr>
          <w:rFonts w:ascii="Times New Roman" w:hAnsi="Times New Roman" w:cs="Times New Roman"/>
          <w:b/>
          <w:sz w:val="28"/>
          <w:szCs w:val="28"/>
        </w:rPr>
        <w:t>и</w:t>
      </w:r>
      <w:r w:rsidRPr="003A358E">
        <w:rPr>
          <w:rFonts w:ascii="Times New Roman" w:hAnsi="Times New Roman" w:cs="Times New Roman"/>
          <w:b/>
          <w:sz w:val="28"/>
          <w:szCs w:val="28"/>
        </w:rPr>
        <w:t>:</w:t>
      </w:r>
      <w:r w:rsidR="003A358E">
        <w:rPr>
          <w:rFonts w:ascii="Times New Roman" w:hAnsi="Times New Roman" w:cs="Times New Roman"/>
          <w:b/>
          <w:sz w:val="28"/>
          <w:szCs w:val="28"/>
        </w:rPr>
        <w:tab/>
      </w:r>
      <w:r w:rsidR="00AF7899" w:rsidRPr="003A358E">
        <w:rPr>
          <w:rFonts w:ascii="Times New Roman" w:hAnsi="Times New Roman" w:cs="Times New Roman"/>
          <w:b/>
          <w:i/>
          <w:iCs/>
          <w:sz w:val="28"/>
          <w:szCs w:val="28"/>
        </w:rPr>
        <w:t>Министерство на околното среда и водите</w:t>
      </w:r>
    </w:p>
    <w:p w14:paraId="41D54376" w14:textId="7AB62379" w:rsidR="003A358E" w:rsidRDefault="00A84656" w:rsidP="00AF7899">
      <w:pPr>
        <w:spacing w:after="0" w:line="240" w:lineRule="auto"/>
        <w:ind w:left="1440" w:firstLine="720"/>
        <w:jc w:val="both"/>
        <w:rPr>
          <w:rFonts w:ascii="Times New Roman" w:hAnsi="Times New Roman" w:cs="Times New Roman"/>
          <w:b/>
          <w:i/>
          <w:iCs/>
          <w:sz w:val="28"/>
          <w:szCs w:val="28"/>
        </w:rPr>
      </w:pPr>
      <w:r w:rsidRPr="003A358E">
        <w:rPr>
          <w:rFonts w:ascii="Times New Roman" w:hAnsi="Times New Roman" w:cs="Times New Roman"/>
          <w:b/>
          <w:i/>
          <w:iCs/>
          <w:sz w:val="28"/>
          <w:szCs w:val="28"/>
        </w:rPr>
        <w:t xml:space="preserve">Министерство на </w:t>
      </w:r>
      <w:r w:rsidR="003A358E" w:rsidRPr="003A358E">
        <w:rPr>
          <w:rFonts w:ascii="Times New Roman" w:hAnsi="Times New Roman" w:cs="Times New Roman"/>
          <w:b/>
          <w:i/>
          <w:iCs/>
          <w:sz w:val="28"/>
          <w:szCs w:val="28"/>
        </w:rPr>
        <w:t>енергетиката</w:t>
      </w:r>
    </w:p>
    <w:p w14:paraId="1CBCBB69" w14:textId="77777777" w:rsidR="003C11E4" w:rsidRPr="003A358E" w:rsidRDefault="003C11E4" w:rsidP="003C11E4">
      <w:pPr>
        <w:spacing w:after="0" w:line="240" w:lineRule="auto"/>
        <w:ind w:left="1440" w:firstLine="720"/>
        <w:jc w:val="both"/>
        <w:rPr>
          <w:rFonts w:ascii="Times New Roman" w:hAnsi="Times New Roman" w:cs="Times New Roman"/>
          <w:b/>
          <w:i/>
          <w:iCs/>
          <w:sz w:val="24"/>
          <w:szCs w:val="24"/>
          <w:lang w:bidi="bg-BG"/>
        </w:rPr>
      </w:pPr>
    </w:p>
    <w:p w14:paraId="0F6E7CE5" w14:textId="77777777" w:rsidR="000417AB" w:rsidRPr="003A358E" w:rsidRDefault="003A358E" w:rsidP="00CD5DB2">
      <w:pPr>
        <w:jc w:val="center"/>
        <w:rPr>
          <w:rFonts w:ascii="Times New Roman" w:hAnsi="Times New Roman" w:cs="Times New Roman"/>
          <w:b/>
          <w:sz w:val="28"/>
          <w:szCs w:val="28"/>
        </w:rPr>
      </w:pPr>
      <w:r w:rsidRPr="003A358E">
        <w:rPr>
          <w:rFonts w:ascii="Times New Roman" w:hAnsi="Times New Roman" w:cs="Times New Roman"/>
          <w:b/>
          <w:sz w:val="24"/>
          <w:szCs w:val="24"/>
          <w:lang w:bidi="bg-BG"/>
        </w:rPr>
        <w:t>юли</w:t>
      </w:r>
      <w:r w:rsidR="00DC32A3" w:rsidRPr="003A358E">
        <w:rPr>
          <w:rFonts w:ascii="Times New Roman" w:hAnsi="Times New Roman" w:cs="Times New Roman"/>
          <w:b/>
          <w:sz w:val="24"/>
          <w:szCs w:val="24"/>
          <w:lang w:bidi="bg-BG"/>
        </w:rPr>
        <w:t xml:space="preserve">, </w:t>
      </w:r>
      <w:r w:rsidR="00CD5DB2" w:rsidRPr="003A358E">
        <w:rPr>
          <w:rFonts w:ascii="Times New Roman" w:hAnsi="Times New Roman" w:cs="Times New Roman"/>
          <w:b/>
          <w:sz w:val="28"/>
          <w:szCs w:val="28"/>
        </w:rPr>
        <w:t>20</w:t>
      </w:r>
      <w:r w:rsidR="000417AB" w:rsidRPr="003A358E">
        <w:rPr>
          <w:rFonts w:ascii="Times New Roman" w:hAnsi="Times New Roman" w:cs="Times New Roman"/>
          <w:b/>
          <w:sz w:val="28"/>
          <w:szCs w:val="28"/>
        </w:rPr>
        <w:t>2</w:t>
      </w:r>
      <w:r w:rsidRPr="003A358E">
        <w:rPr>
          <w:rFonts w:ascii="Times New Roman" w:hAnsi="Times New Roman" w:cs="Times New Roman"/>
          <w:b/>
          <w:sz w:val="28"/>
          <w:szCs w:val="28"/>
        </w:rPr>
        <w:t xml:space="preserve">5 </w:t>
      </w:r>
      <w:r w:rsidR="00CD5DB2" w:rsidRPr="003A358E">
        <w:rPr>
          <w:rFonts w:ascii="Times New Roman" w:hAnsi="Times New Roman" w:cs="Times New Roman"/>
          <w:b/>
          <w:sz w:val="28"/>
          <w:szCs w:val="28"/>
        </w:rPr>
        <w:t>г.</w:t>
      </w:r>
    </w:p>
    <w:p w14:paraId="1CBA1730" w14:textId="77777777" w:rsidR="00363284" w:rsidRPr="008E0C78" w:rsidRDefault="00363284" w:rsidP="00CD5DB2">
      <w:pPr>
        <w:jc w:val="center"/>
        <w:rPr>
          <w:rFonts w:ascii="Times New Roman" w:hAnsi="Times New Roman" w:cs="Times New Roman"/>
          <w:b/>
          <w:color w:val="FF0000"/>
          <w:sz w:val="28"/>
          <w:szCs w:val="28"/>
          <w:highlight w:val="yellow"/>
        </w:rPr>
        <w:sectPr w:rsidR="00363284" w:rsidRPr="008E0C78" w:rsidSect="00A10221">
          <w:headerReference w:type="default" r:id="rId9"/>
          <w:footerReference w:type="default" r:id="rId10"/>
          <w:pgSz w:w="12240" w:h="15840" w:code="1"/>
          <w:pgMar w:top="1440" w:right="1440" w:bottom="1440" w:left="1440" w:header="709" w:footer="709" w:gutter="0"/>
          <w:cols w:space="708"/>
          <w:titlePg/>
          <w:docGrid w:linePitch="360"/>
        </w:sectPr>
      </w:pPr>
    </w:p>
    <w:p w14:paraId="2A18568B" w14:textId="77777777" w:rsidR="00CD5DB2" w:rsidRPr="005125AE" w:rsidRDefault="00CD5DB2" w:rsidP="00CD5DB2">
      <w:pPr>
        <w:jc w:val="center"/>
        <w:rPr>
          <w:rFonts w:ascii="Times New Roman" w:hAnsi="Times New Roman" w:cs="Times New Roman"/>
          <w:b/>
          <w:sz w:val="28"/>
          <w:szCs w:val="28"/>
          <w:highlight w:val="yellow"/>
        </w:rPr>
      </w:pPr>
    </w:p>
    <w:sdt>
      <w:sdtPr>
        <w:rPr>
          <w:rFonts w:asciiTheme="minorHAnsi" w:eastAsiaTheme="minorHAnsi" w:hAnsiTheme="minorHAnsi" w:cstheme="minorBidi"/>
          <w:color w:val="auto"/>
          <w:sz w:val="22"/>
          <w:szCs w:val="22"/>
          <w:highlight w:val="yellow"/>
          <w:lang w:val="bg-BG"/>
        </w:rPr>
        <w:id w:val="622427224"/>
        <w:docPartObj>
          <w:docPartGallery w:val="Table of Contents"/>
          <w:docPartUnique/>
        </w:docPartObj>
      </w:sdtPr>
      <w:sdtEndPr>
        <w:rPr>
          <w:rFonts w:ascii="Times New Roman" w:hAnsi="Times New Roman" w:cs="Times New Roman"/>
          <w:b/>
          <w:bCs/>
        </w:rPr>
      </w:sdtEndPr>
      <w:sdtContent>
        <w:p w14:paraId="02BCDEA1" w14:textId="77777777" w:rsidR="00A548F3" w:rsidRPr="005125AE" w:rsidRDefault="00A548F3" w:rsidP="00A548F3">
          <w:pPr>
            <w:pStyle w:val="TOCHeading"/>
            <w:spacing w:before="0" w:line="360" w:lineRule="auto"/>
            <w:rPr>
              <w:rFonts w:ascii="Times New Roman" w:hAnsi="Times New Roman" w:cs="Times New Roman"/>
              <w:b/>
              <w:color w:val="auto"/>
              <w:lang w:val="bg-BG"/>
            </w:rPr>
          </w:pPr>
          <w:r w:rsidRPr="005125AE">
            <w:rPr>
              <w:rFonts w:ascii="Times New Roman" w:hAnsi="Times New Roman" w:cs="Times New Roman"/>
              <w:b/>
              <w:color w:val="auto"/>
              <w:lang w:val="bg-BG"/>
            </w:rPr>
            <w:t>Съдържание</w:t>
          </w:r>
        </w:p>
        <w:p w14:paraId="22B56895" w14:textId="2BD2FE5C" w:rsidR="00B77B6F" w:rsidRDefault="00912AD4">
          <w:pPr>
            <w:pStyle w:val="TOC1"/>
            <w:tabs>
              <w:tab w:val="left" w:pos="440"/>
              <w:tab w:val="right" w:leader="dot" w:pos="9350"/>
            </w:tabs>
            <w:rPr>
              <w:rFonts w:eastAsiaTheme="minorEastAsia"/>
              <w:noProof/>
              <w:lang w:eastAsia="bg-BG"/>
            </w:rPr>
          </w:pPr>
          <w:r w:rsidRPr="00CB36D4">
            <w:rPr>
              <w:rFonts w:ascii="Times New Roman" w:hAnsi="Times New Roman" w:cs="Times New Roman"/>
              <w:highlight w:val="yellow"/>
            </w:rPr>
            <w:fldChar w:fldCharType="begin"/>
          </w:r>
          <w:r w:rsidR="00A548F3" w:rsidRPr="00CB36D4">
            <w:rPr>
              <w:rFonts w:ascii="Times New Roman" w:hAnsi="Times New Roman" w:cs="Times New Roman"/>
              <w:highlight w:val="yellow"/>
            </w:rPr>
            <w:instrText xml:space="preserve"> TOC \o "1-3" \h \z \u </w:instrText>
          </w:r>
          <w:r w:rsidRPr="00CB36D4">
            <w:rPr>
              <w:rFonts w:ascii="Times New Roman" w:hAnsi="Times New Roman" w:cs="Times New Roman"/>
              <w:highlight w:val="yellow"/>
            </w:rPr>
            <w:fldChar w:fldCharType="separate"/>
          </w:r>
          <w:hyperlink w:anchor="_Toc202729999" w:history="1">
            <w:r w:rsidR="00B77B6F" w:rsidRPr="00CC1920">
              <w:rPr>
                <w:rStyle w:val="Hyperlink"/>
                <w:rFonts w:ascii="Times New Roman" w:hAnsi="Times New Roman" w:cs="Times New Roman"/>
                <w:b/>
                <w:noProof/>
              </w:rPr>
              <w:t>I.</w:t>
            </w:r>
            <w:r w:rsidR="00B77B6F">
              <w:rPr>
                <w:rFonts w:eastAsiaTheme="minorEastAsia"/>
                <w:noProof/>
                <w:lang w:eastAsia="bg-BG"/>
              </w:rPr>
              <w:tab/>
            </w:r>
            <w:r w:rsidR="00B77B6F" w:rsidRPr="00CC1920">
              <w:rPr>
                <w:rStyle w:val="Hyperlink"/>
                <w:rFonts w:ascii="Times New Roman" w:hAnsi="Times New Roman" w:cs="Times New Roman"/>
                <w:b/>
                <w:noProof/>
              </w:rPr>
              <w:t>ВЪВЕДЕНИЕ</w:t>
            </w:r>
            <w:r w:rsidR="00B77B6F">
              <w:rPr>
                <w:noProof/>
                <w:webHidden/>
              </w:rPr>
              <w:tab/>
            </w:r>
            <w:r w:rsidR="00B77B6F">
              <w:rPr>
                <w:noProof/>
                <w:webHidden/>
              </w:rPr>
              <w:fldChar w:fldCharType="begin"/>
            </w:r>
            <w:r w:rsidR="00B77B6F">
              <w:rPr>
                <w:noProof/>
                <w:webHidden/>
              </w:rPr>
              <w:instrText xml:space="preserve"> PAGEREF _Toc202729999 \h </w:instrText>
            </w:r>
            <w:r w:rsidR="00B77B6F">
              <w:rPr>
                <w:noProof/>
                <w:webHidden/>
              </w:rPr>
            </w:r>
            <w:r w:rsidR="00B77B6F">
              <w:rPr>
                <w:noProof/>
                <w:webHidden/>
              </w:rPr>
              <w:fldChar w:fldCharType="separate"/>
            </w:r>
            <w:r w:rsidR="00EF6505">
              <w:rPr>
                <w:noProof/>
                <w:webHidden/>
              </w:rPr>
              <w:t>6</w:t>
            </w:r>
            <w:r w:rsidR="00B77B6F">
              <w:rPr>
                <w:noProof/>
                <w:webHidden/>
              </w:rPr>
              <w:fldChar w:fldCharType="end"/>
            </w:r>
          </w:hyperlink>
        </w:p>
        <w:p w14:paraId="2479E869" w14:textId="13245F68" w:rsidR="00B77B6F" w:rsidRDefault="00786046">
          <w:pPr>
            <w:pStyle w:val="TOC1"/>
            <w:tabs>
              <w:tab w:val="left" w:pos="660"/>
              <w:tab w:val="right" w:leader="dot" w:pos="9350"/>
            </w:tabs>
            <w:rPr>
              <w:rFonts w:eastAsiaTheme="minorEastAsia"/>
              <w:noProof/>
              <w:lang w:eastAsia="bg-BG"/>
            </w:rPr>
          </w:pPr>
          <w:hyperlink w:anchor="_Toc202730000" w:history="1">
            <w:r w:rsidR="00B77B6F" w:rsidRPr="00CC1920">
              <w:rPr>
                <w:rStyle w:val="Hyperlink"/>
                <w:rFonts w:ascii="Times New Roman" w:hAnsi="Times New Roman" w:cs="Times New Roman"/>
                <w:b/>
                <w:noProof/>
              </w:rPr>
              <w:t>II.</w:t>
            </w:r>
            <w:r w:rsidR="00B77B6F">
              <w:rPr>
                <w:rFonts w:eastAsiaTheme="minorEastAsia"/>
                <w:noProof/>
                <w:lang w:eastAsia="bg-BG"/>
              </w:rPr>
              <w:tab/>
            </w:r>
            <w:r w:rsidR="00B77B6F" w:rsidRPr="00CC1920">
              <w:rPr>
                <w:rStyle w:val="Hyperlink"/>
                <w:rFonts w:ascii="Times New Roman" w:hAnsi="Times New Roman" w:cs="Times New Roman"/>
                <w:b/>
                <w:noProof/>
              </w:rPr>
              <w:t>ИНФОРМАЦИЯ ЗА КОНТАКТ С ВЪЗЛОЖИТЕЛЯ</w:t>
            </w:r>
            <w:r w:rsidR="00B77B6F">
              <w:rPr>
                <w:noProof/>
                <w:webHidden/>
              </w:rPr>
              <w:tab/>
            </w:r>
            <w:r w:rsidR="00B77B6F">
              <w:rPr>
                <w:noProof/>
                <w:webHidden/>
              </w:rPr>
              <w:fldChar w:fldCharType="begin"/>
            </w:r>
            <w:r w:rsidR="00B77B6F">
              <w:rPr>
                <w:noProof/>
                <w:webHidden/>
              </w:rPr>
              <w:instrText xml:space="preserve"> PAGEREF _Toc202730000 \h </w:instrText>
            </w:r>
            <w:r w:rsidR="00B77B6F">
              <w:rPr>
                <w:noProof/>
                <w:webHidden/>
              </w:rPr>
            </w:r>
            <w:r w:rsidR="00B77B6F">
              <w:rPr>
                <w:noProof/>
                <w:webHidden/>
              </w:rPr>
              <w:fldChar w:fldCharType="separate"/>
            </w:r>
            <w:r w:rsidR="00EF6505">
              <w:rPr>
                <w:noProof/>
                <w:webHidden/>
              </w:rPr>
              <w:t>9</w:t>
            </w:r>
            <w:r w:rsidR="00B77B6F">
              <w:rPr>
                <w:noProof/>
                <w:webHidden/>
              </w:rPr>
              <w:fldChar w:fldCharType="end"/>
            </w:r>
          </w:hyperlink>
        </w:p>
        <w:p w14:paraId="73D5CB2C" w14:textId="5FF32DDD" w:rsidR="00B77B6F" w:rsidRDefault="00786046">
          <w:pPr>
            <w:pStyle w:val="TOC2"/>
            <w:tabs>
              <w:tab w:val="left" w:pos="660"/>
              <w:tab w:val="right" w:leader="dot" w:pos="9350"/>
            </w:tabs>
            <w:rPr>
              <w:rFonts w:eastAsiaTheme="minorEastAsia"/>
              <w:noProof/>
              <w:lang w:eastAsia="bg-BG"/>
            </w:rPr>
          </w:pPr>
          <w:hyperlink w:anchor="_Toc202730001" w:history="1">
            <w:r w:rsidR="00B77B6F" w:rsidRPr="00CC1920">
              <w:rPr>
                <w:rStyle w:val="Hyperlink"/>
                <w:rFonts w:ascii="Times New Roman" w:hAnsi="Times New Roman" w:cs="Times New Roman"/>
                <w:b/>
                <w:i/>
                <w:noProof/>
              </w:rPr>
              <w:t>1.</w:t>
            </w:r>
            <w:r w:rsidR="00B77B6F">
              <w:rPr>
                <w:rFonts w:eastAsiaTheme="minorEastAsia"/>
                <w:noProof/>
                <w:lang w:eastAsia="bg-BG"/>
              </w:rPr>
              <w:tab/>
            </w:r>
            <w:r w:rsidR="00B77B6F" w:rsidRPr="00CC1920">
              <w:rPr>
                <w:rStyle w:val="Hyperlink"/>
                <w:rFonts w:ascii="Times New Roman" w:hAnsi="Times New Roman" w:cs="Times New Roman"/>
                <w:b/>
                <w:i/>
                <w:noProof/>
              </w:rPr>
              <w:t>Име, ЕГН, местожителство, гражданство на Възложителя – физическо лице, седалище и единен идентификационен номер на юридическото лице</w:t>
            </w:r>
            <w:r w:rsidR="00B77B6F">
              <w:rPr>
                <w:noProof/>
                <w:webHidden/>
              </w:rPr>
              <w:tab/>
            </w:r>
            <w:r w:rsidR="00B77B6F">
              <w:rPr>
                <w:noProof/>
                <w:webHidden/>
              </w:rPr>
              <w:fldChar w:fldCharType="begin"/>
            </w:r>
            <w:r w:rsidR="00B77B6F">
              <w:rPr>
                <w:noProof/>
                <w:webHidden/>
              </w:rPr>
              <w:instrText xml:space="preserve"> PAGEREF _Toc202730001 \h </w:instrText>
            </w:r>
            <w:r w:rsidR="00B77B6F">
              <w:rPr>
                <w:noProof/>
                <w:webHidden/>
              </w:rPr>
            </w:r>
            <w:r w:rsidR="00B77B6F">
              <w:rPr>
                <w:noProof/>
                <w:webHidden/>
              </w:rPr>
              <w:fldChar w:fldCharType="separate"/>
            </w:r>
            <w:r w:rsidR="00EF6505">
              <w:rPr>
                <w:noProof/>
                <w:webHidden/>
              </w:rPr>
              <w:t>9</w:t>
            </w:r>
            <w:r w:rsidR="00B77B6F">
              <w:rPr>
                <w:noProof/>
                <w:webHidden/>
              </w:rPr>
              <w:fldChar w:fldCharType="end"/>
            </w:r>
          </w:hyperlink>
        </w:p>
        <w:p w14:paraId="6BE05EAD" w14:textId="1E9CA8C9" w:rsidR="00B77B6F" w:rsidRDefault="00786046">
          <w:pPr>
            <w:pStyle w:val="TOC2"/>
            <w:tabs>
              <w:tab w:val="left" w:pos="660"/>
              <w:tab w:val="right" w:leader="dot" w:pos="9350"/>
            </w:tabs>
            <w:rPr>
              <w:rFonts w:eastAsiaTheme="minorEastAsia"/>
              <w:noProof/>
              <w:lang w:eastAsia="bg-BG"/>
            </w:rPr>
          </w:pPr>
          <w:hyperlink w:anchor="_Toc202730002" w:history="1">
            <w:r w:rsidR="00B77B6F" w:rsidRPr="00CC1920">
              <w:rPr>
                <w:rStyle w:val="Hyperlink"/>
                <w:rFonts w:ascii="Times New Roman" w:hAnsi="Times New Roman" w:cs="Times New Roman"/>
                <w:b/>
                <w:i/>
                <w:noProof/>
              </w:rPr>
              <w:t>2.</w:t>
            </w:r>
            <w:r w:rsidR="00B77B6F">
              <w:rPr>
                <w:rFonts w:eastAsiaTheme="minorEastAsia"/>
                <w:noProof/>
                <w:lang w:eastAsia="bg-BG"/>
              </w:rPr>
              <w:tab/>
            </w:r>
            <w:r w:rsidR="00B77B6F" w:rsidRPr="00CC1920">
              <w:rPr>
                <w:rStyle w:val="Hyperlink"/>
                <w:rFonts w:ascii="Times New Roman" w:hAnsi="Times New Roman" w:cs="Times New Roman"/>
                <w:b/>
                <w:i/>
                <w:noProof/>
              </w:rPr>
              <w:t>Пълен пощенски адрес</w:t>
            </w:r>
            <w:r w:rsidR="00B77B6F">
              <w:rPr>
                <w:noProof/>
                <w:webHidden/>
              </w:rPr>
              <w:tab/>
            </w:r>
            <w:r w:rsidR="00B77B6F">
              <w:rPr>
                <w:noProof/>
                <w:webHidden/>
              </w:rPr>
              <w:fldChar w:fldCharType="begin"/>
            </w:r>
            <w:r w:rsidR="00B77B6F">
              <w:rPr>
                <w:noProof/>
                <w:webHidden/>
              </w:rPr>
              <w:instrText xml:space="preserve"> PAGEREF _Toc202730002 \h </w:instrText>
            </w:r>
            <w:r w:rsidR="00B77B6F">
              <w:rPr>
                <w:noProof/>
                <w:webHidden/>
              </w:rPr>
            </w:r>
            <w:r w:rsidR="00B77B6F">
              <w:rPr>
                <w:noProof/>
                <w:webHidden/>
              </w:rPr>
              <w:fldChar w:fldCharType="separate"/>
            </w:r>
            <w:r w:rsidR="00EF6505">
              <w:rPr>
                <w:noProof/>
                <w:webHidden/>
              </w:rPr>
              <w:t>9</w:t>
            </w:r>
            <w:r w:rsidR="00B77B6F">
              <w:rPr>
                <w:noProof/>
                <w:webHidden/>
              </w:rPr>
              <w:fldChar w:fldCharType="end"/>
            </w:r>
          </w:hyperlink>
        </w:p>
        <w:p w14:paraId="199D1141" w14:textId="75F5C9F5" w:rsidR="00B77B6F" w:rsidRDefault="00786046">
          <w:pPr>
            <w:pStyle w:val="TOC2"/>
            <w:tabs>
              <w:tab w:val="left" w:pos="660"/>
              <w:tab w:val="right" w:leader="dot" w:pos="9350"/>
            </w:tabs>
            <w:rPr>
              <w:rFonts w:eastAsiaTheme="minorEastAsia"/>
              <w:noProof/>
              <w:lang w:eastAsia="bg-BG"/>
            </w:rPr>
          </w:pPr>
          <w:hyperlink w:anchor="_Toc202730003" w:history="1">
            <w:r w:rsidR="00B77B6F" w:rsidRPr="00CC1920">
              <w:rPr>
                <w:rStyle w:val="Hyperlink"/>
                <w:rFonts w:ascii="Times New Roman" w:hAnsi="Times New Roman" w:cs="Times New Roman"/>
                <w:b/>
                <w:i/>
                <w:noProof/>
              </w:rPr>
              <w:t>3.</w:t>
            </w:r>
            <w:r w:rsidR="00B77B6F">
              <w:rPr>
                <w:rFonts w:eastAsiaTheme="minorEastAsia"/>
                <w:noProof/>
                <w:lang w:eastAsia="bg-BG"/>
              </w:rPr>
              <w:tab/>
            </w:r>
            <w:r w:rsidR="00B77B6F" w:rsidRPr="00CC1920">
              <w:rPr>
                <w:rStyle w:val="Hyperlink"/>
                <w:rFonts w:ascii="Times New Roman" w:hAnsi="Times New Roman" w:cs="Times New Roman"/>
                <w:b/>
                <w:i/>
                <w:noProof/>
              </w:rPr>
              <w:t>Телефон, факс, Е-mail</w:t>
            </w:r>
            <w:r w:rsidR="00B77B6F">
              <w:rPr>
                <w:noProof/>
                <w:webHidden/>
              </w:rPr>
              <w:tab/>
            </w:r>
            <w:r w:rsidR="00B77B6F">
              <w:rPr>
                <w:noProof/>
                <w:webHidden/>
              </w:rPr>
              <w:fldChar w:fldCharType="begin"/>
            </w:r>
            <w:r w:rsidR="00B77B6F">
              <w:rPr>
                <w:noProof/>
                <w:webHidden/>
              </w:rPr>
              <w:instrText xml:space="preserve"> PAGEREF _Toc202730003 \h </w:instrText>
            </w:r>
            <w:r w:rsidR="00B77B6F">
              <w:rPr>
                <w:noProof/>
                <w:webHidden/>
              </w:rPr>
            </w:r>
            <w:r w:rsidR="00B77B6F">
              <w:rPr>
                <w:noProof/>
                <w:webHidden/>
              </w:rPr>
              <w:fldChar w:fldCharType="separate"/>
            </w:r>
            <w:r w:rsidR="00EF6505">
              <w:rPr>
                <w:noProof/>
                <w:webHidden/>
              </w:rPr>
              <w:t>10</w:t>
            </w:r>
            <w:r w:rsidR="00B77B6F">
              <w:rPr>
                <w:noProof/>
                <w:webHidden/>
              </w:rPr>
              <w:fldChar w:fldCharType="end"/>
            </w:r>
          </w:hyperlink>
        </w:p>
        <w:p w14:paraId="39ABAE93" w14:textId="4787BFAB" w:rsidR="00B77B6F" w:rsidRDefault="00786046">
          <w:pPr>
            <w:pStyle w:val="TOC2"/>
            <w:tabs>
              <w:tab w:val="left" w:pos="660"/>
              <w:tab w:val="right" w:leader="dot" w:pos="9350"/>
            </w:tabs>
            <w:rPr>
              <w:rFonts w:eastAsiaTheme="minorEastAsia"/>
              <w:noProof/>
              <w:lang w:eastAsia="bg-BG"/>
            </w:rPr>
          </w:pPr>
          <w:hyperlink w:anchor="_Toc202730004" w:history="1">
            <w:r w:rsidR="00B77B6F" w:rsidRPr="00CC1920">
              <w:rPr>
                <w:rStyle w:val="Hyperlink"/>
                <w:rFonts w:ascii="Times New Roman" w:hAnsi="Times New Roman" w:cs="Times New Roman"/>
                <w:b/>
                <w:i/>
                <w:noProof/>
              </w:rPr>
              <w:t>4.</w:t>
            </w:r>
            <w:r w:rsidR="00B77B6F">
              <w:rPr>
                <w:rFonts w:eastAsiaTheme="minorEastAsia"/>
                <w:noProof/>
                <w:lang w:eastAsia="bg-BG"/>
              </w:rPr>
              <w:tab/>
            </w:r>
            <w:r w:rsidR="00B77B6F" w:rsidRPr="00CC1920">
              <w:rPr>
                <w:rStyle w:val="Hyperlink"/>
                <w:rFonts w:ascii="Times New Roman" w:hAnsi="Times New Roman" w:cs="Times New Roman"/>
                <w:b/>
                <w:i/>
                <w:noProof/>
              </w:rPr>
              <w:t>Лице за контакти</w:t>
            </w:r>
            <w:r w:rsidR="00B77B6F">
              <w:rPr>
                <w:noProof/>
                <w:webHidden/>
              </w:rPr>
              <w:tab/>
            </w:r>
            <w:r w:rsidR="00B77B6F">
              <w:rPr>
                <w:noProof/>
                <w:webHidden/>
              </w:rPr>
              <w:fldChar w:fldCharType="begin"/>
            </w:r>
            <w:r w:rsidR="00B77B6F">
              <w:rPr>
                <w:noProof/>
                <w:webHidden/>
              </w:rPr>
              <w:instrText xml:space="preserve"> PAGEREF _Toc202730004 \h </w:instrText>
            </w:r>
            <w:r w:rsidR="00B77B6F">
              <w:rPr>
                <w:noProof/>
                <w:webHidden/>
              </w:rPr>
            </w:r>
            <w:r w:rsidR="00B77B6F">
              <w:rPr>
                <w:noProof/>
                <w:webHidden/>
              </w:rPr>
              <w:fldChar w:fldCharType="separate"/>
            </w:r>
            <w:r w:rsidR="00EF6505">
              <w:rPr>
                <w:noProof/>
                <w:webHidden/>
              </w:rPr>
              <w:t>10</w:t>
            </w:r>
            <w:r w:rsidR="00B77B6F">
              <w:rPr>
                <w:noProof/>
                <w:webHidden/>
              </w:rPr>
              <w:fldChar w:fldCharType="end"/>
            </w:r>
          </w:hyperlink>
        </w:p>
        <w:p w14:paraId="0A550D94" w14:textId="594B8BD0" w:rsidR="00B77B6F" w:rsidRDefault="00786046">
          <w:pPr>
            <w:pStyle w:val="TOC1"/>
            <w:tabs>
              <w:tab w:val="left" w:pos="660"/>
              <w:tab w:val="right" w:leader="dot" w:pos="9350"/>
            </w:tabs>
            <w:rPr>
              <w:rFonts w:eastAsiaTheme="minorEastAsia"/>
              <w:noProof/>
              <w:lang w:eastAsia="bg-BG"/>
            </w:rPr>
          </w:pPr>
          <w:hyperlink w:anchor="_Toc202730005" w:history="1">
            <w:r w:rsidR="00B77B6F" w:rsidRPr="00CC1920">
              <w:rPr>
                <w:rStyle w:val="Hyperlink"/>
                <w:rFonts w:ascii="Times New Roman" w:hAnsi="Times New Roman" w:cs="Times New Roman"/>
                <w:b/>
                <w:noProof/>
              </w:rPr>
              <w:t>III.</w:t>
            </w:r>
            <w:r w:rsidR="00B77B6F">
              <w:rPr>
                <w:rFonts w:eastAsiaTheme="minorEastAsia"/>
                <w:noProof/>
                <w:lang w:eastAsia="bg-BG"/>
              </w:rPr>
              <w:tab/>
            </w:r>
            <w:r w:rsidR="00B77B6F" w:rsidRPr="00CC1920">
              <w:rPr>
                <w:rStyle w:val="Hyperlink"/>
                <w:rFonts w:ascii="Times New Roman" w:hAnsi="Times New Roman" w:cs="Times New Roman"/>
                <w:b/>
                <w:noProof/>
              </w:rPr>
              <w:t>ЗАДАНИЕ ЗА ОПРЕДЕЛЯНЕ НА ОБХВАТА И СЪДЪРЖАНИЕТО НА ЕКОЛОГИЧНАТА ОЦЕНКА</w:t>
            </w:r>
            <w:r w:rsidR="00B77B6F">
              <w:rPr>
                <w:noProof/>
                <w:webHidden/>
              </w:rPr>
              <w:tab/>
            </w:r>
            <w:r w:rsidR="00B77B6F">
              <w:rPr>
                <w:noProof/>
                <w:webHidden/>
              </w:rPr>
              <w:fldChar w:fldCharType="begin"/>
            </w:r>
            <w:r w:rsidR="00B77B6F">
              <w:rPr>
                <w:noProof/>
                <w:webHidden/>
              </w:rPr>
              <w:instrText xml:space="preserve"> PAGEREF _Toc202730005 \h </w:instrText>
            </w:r>
            <w:r w:rsidR="00B77B6F">
              <w:rPr>
                <w:noProof/>
                <w:webHidden/>
              </w:rPr>
            </w:r>
            <w:r w:rsidR="00B77B6F">
              <w:rPr>
                <w:noProof/>
                <w:webHidden/>
              </w:rPr>
              <w:fldChar w:fldCharType="separate"/>
            </w:r>
            <w:r w:rsidR="00EF6505">
              <w:rPr>
                <w:noProof/>
                <w:webHidden/>
              </w:rPr>
              <w:t>11</w:t>
            </w:r>
            <w:r w:rsidR="00B77B6F">
              <w:rPr>
                <w:noProof/>
                <w:webHidden/>
              </w:rPr>
              <w:fldChar w:fldCharType="end"/>
            </w:r>
          </w:hyperlink>
        </w:p>
        <w:p w14:paraId="7BF6A7E0" w14:textId="09E98DBF" w:rsidR="00B77B6F" w:rsidRDefault="00786046">
          <w:pPr>
            <w:pStyle w:val="TOC2"/>
            <w:tabs>
              <w:tab w:val="left" w:pos="660"/>
              <w:tab w:val="right" w:leader="dot" w:pos="9350"/>
            </w:tabs>
            <w:rPr>
              <w:rFonts w:eastAsiaTheme="minorEastAsia"/>
              <w:noProof/>
              <w:lang w:eastAsia="bg-BG"/>
            </w:rPr>
          </w:pPr>
          <w:hyperlink w:anchor="_Toc202730006" w:history="1">
            <w:r w:rsidR="00B77B6F" w:rsidRPr="00CC1920">
              <w:rPr>
                <w:rStyle w:val="Hyperlink"/>
                <w:rFonts w:ascii="Times New Roman" w:hAnsi="Times New Roman" w:cs="Times New Roman"/>
                <w:b/>
                <w:i/>
                <w:noProof/>
              </w:rPr>
              <w:t>1.</w:t>
            </w:r>
            <w:r w:rsidR="00B77B6F">
              <w:rPr>
                <w:rFonts w:eastAsiaTheme="minorEastAsia"/>
                <w:noProof/>
                <w:lang w:eastAsia="bg-BG"/>
              </w:rPr>
              <w:tab/>
            </w:r>
            <w:r w:rsidR="00B77B6F" w:rsidRPr="00CC1920">
              <w:rPr>
                <w:rStyle w:val="Hyperlink"/>
                <w:rFonts w:ascii="Times New Roman" w:hAnsi="Times New Roman" w:cs="Times New Roman"/>
                <w:b/>
                <w:i/>
                <w:noProof/>
              </w:rPr>
              <w:t xml:space="preserve">Описание на съдържанието на основните цели на </w:t>
            </w:r>
            <w:r w:rsidR="005B5EB3">
              <w:rPr>
                <w:rStyle w:val="Hyperlink"/>
                <w:rFonts w:ascii="Times New Roman" w:hAnsi="Times New Roman" w:cs="Times New Roman"/>
                <w:b/>
                <w:i/>
                <w:noProof/>
              </w:rPr>
              <w:t>ИПЕК</w:t>
            </w:r>
            <w:r w:rsidR="00B77B6F" w:rsidRPr="00CC1920">
              <w:rPr>
                <w:rStyle w:val="Hyperlink"/>
                <w:rFonts w:ascii="Times New Roman" w:hAnsi="Times New Roman" w:cs="Times New Roman"/>
                <w:b/>
                <w:i/>
                <w:noProof/>
              </w:rPr>
              <w:t xml:space="preserve"> и връзка с други съотносими планове и програми</w:t>
            </w:r>
            <w:r w:rsidR="00B77B6F">
              <w:rPr>
                <w:noProof/>
                <w:webHidden/>
              </w:rPr>
              <w:tab/>
            </w:r>
            <w:r w:rsidR="00B77B6F">
              <w:rPr>
                <w:noProof/>
                <w:webHidden/>
              </w:rPr>
              <w:fldChar w:fldCharType="begin"/>
            </w:r>
            <w:r w:rsidR="00B77B6F">
              <w:rPr>
                <w:noProof/>
                <w:webHidden/>
              </w:rPr>
              <w:instrText xml:space="preserve"> PAGEREF _Toc202730006 \h </w:instrText>
            </w:r>
            <w:r w:rsidR="00B77B6F">
              <w:rPr>
                <w:noProof/>
                <w:webHidden/>
              </w:rPr>
            </w:r>
            <w:r w:rsidR="00B77B6F">
              <w:rPr>
                <w:noProof/>
                <w:webHidden/>
              </w:rPr>
              <w:fldChar w:fldCharType="separate"/>
            </w:r>
            <w:r w:rsidR="00EF6505">
              <w:rPr>
                <w:noProof/>
                <w:webHidden/>
              </w:rPr>
              <w:t>11</w:t>
            </w:r>
            <w:r w:rsidR="00B77B6F">
              <w:rPr>
                <w:noProof/>
                <w:webHidden/>
              </w:rPr>
              <w:fldChar w:fldCharType="end"/>
            </w:r>
          </w:hyperlink>
        </w:p>
        <w:p w14:paraId="409336A9" w14:textId="1A14C906" w:rsidR="00B77B6F" w:rsidRDefault="00786046">
          <w:pPr>
            <w:pStyle w:val="TOC3"/>
            <w:tabs>
              <w:tab w:val="right" w:leader="dot" w:pos="9350"/>
            </w:tabs>
            <w:rPr>
              <w:rFonts w:eastAsiaTheme="minorEastAsia"/>
              <w:noProof/>
              <w:lang w:eastAsia="bg-BG"/>
            </w:rPr>
          </w:pPr>
          <w:hyperlink w:anchor="_Toc202730007" w:history="1">
            <w:r w:rsidR="00B77B6F" w:rsidRPr="00CC1920">
              <w:rPr>
                <w:rStyle w:val="Hyperlink"/>
                <w:rFonts w:ascii="Times New Roman" w:hAnsi="Times New Roman" w:cs="Times New Roman"/>
                <w:b/>
                <w:noProof/>
              </w:rPr>
              <w:t xml:space="preserve">1.1. Основания за изготвяне на </w:t>
            </w:r>
            <w:r w:rsidR="005B5EB3">
              <w:rPr>
                <w:rStyle w:val="Hyperlink"/>
                <w:rFonts w:ascii="Times New Roman" w:hAnsi="Times New Roman" w:cs="Times New Roman"/>
                <w:b/>
                <w:noProof/>
              </w:rPr>
              <w:t>ИПЕК</w:t>
            </w:r>
            <w:r w:rsidR="00B77B6F">
              <w:rPr>
                <w:noProof/>
                <w:webHidden/>
              </w:rPr>
              <w:tab/>
            </w:r>
            <w:r w:rsidR="00B77B6F">
              <w:rPr>
                <w:noProof/>
                <w:webHidden/>
              </w:rPr>
              <w:fldChar w:fldCharType="begin"/>
            </w:r>
            <w:r w:rsidR="00B77B6F">
              <w:rPr>
                <w:noProof/>
                <w:webHidden/>
              </w:rPr>
              <w:instrText xml:space="preserve"> PAGEREF _Toc202730007 \h </w:instrText>
            </w:r>
            <w:r w:rsidR="00B77B6F">
              <w:rPr>
                <w:noProof/>
                <w:webHidden/>
              </w:rPr>
            </w:r>
            <w:r w:rsidR="00B77B6F">
              <w:rPr>
                <w:noProof/>
                <w:webHidden/>
              </w:rPr>
              <w:fldChar w:fldCharType="separate"/>
            </w:r>
            <w:r w:rsidR="00EF6505">
              <w:rPr>
                <w:noProof/>
                <w:webHidden/>
              </w:rPr>
              <w:t>11</w:t>
            </w:r>
            <w:r w:rsidR="00B77B6F">
              <w:rPr>
                <w:noProof/>
                <w:webHidden/>
              </w:rPr>
              <w:fldChar w:fldCharType="end"/>
            </w:r>
          </w:hyperlink>
        </w:p>
        <w:p w14:paraId="6AA4B5A7" w14:textId="42271417" w:rsidR="00B77B6F" w:rsidRDefault="00786046">
          <w:pPr>
            <w:pStyle w:val="TOC3"/>
            <w:tabs>
              <w:tab w:val="right" w:leader="dot" w:pos="9350"/>
            </w:tabs>
            <w:rPr>
              <w:rFonts w:eastAsiaTheme="minorEastAsia"/>
              <w:noProof/>
              <w:lang w:eastAsia="bg-BG"/>
            </w:rPr>
          </w:pPr>
          <w:hyperlink w:anchor="_Toc202730008" w:history="1">
            <w:r w:rsidR="00B77B6F" w:rsidRPr="00CC1920">
              <w:rPr>
                <w:rStyle w:val="Hyperlink"/>
                <w:rFonts w:ascii="Times New Roman" w:hAnsi="Times New Roman" w:cs="Times New Roman"/>
                <w:b/>
                <w:noProof/>
              </w:rPr>
              <w:t xml:space="preserve">1.2. Основни цели, структура и съдържание на </w:t>
            </w:r>
            <w:r w:rsidR="005B5EB3">
              <w:rPr>
                <w:rStyle w:val="Hyperlink"/>
                <w:rFonts w:ascii="Times New Roman" w:hAnsi="Times New Roman" w:cs="Times New Roman"/>
                <w:b/>
                <w:noProof/>
              </w:rPr>
              <w:t>ИПЕК</w:t>
            </w:r>
            <w:r w:rsidR="00B77B6F">
              <w:rPr>
                <w:noProof/>
                <w:webHidden/>
              </w:rPr>
              <w:tab/>
            </w:r>
            <w:r w:rsidR="00B77B6F">
              <w:rPr>
                <w:noProof/>
                <w:webHidden/>
              </w:rPr>
              <w:fldChar w:fldCharType="begin"/>
            </w:r>
            <w:r w:rsidR="00B77B6F">
              <w:rPr>
                <w:noProof/>
                <w:webHidden/>
              </w:rPr>
              <w:instrText xml:space="preserve"> PAGEREF _Toc202730008 \h </w:instrText>
            </w:r>
            <w:r w:rsidR="00B77B6F">
              <w:rPr>
                <w:noProof/>
                <w:webHidden/>
              </w:rPr>
            </w:r>
            <w:r w:rsidR="00B77B6F">
              <w:rPr>
                <w:noProof/>
                <w:webHidden/>
              </w:rPr>
              <w:fldChar w:fldCharType="separate"/>
            </w:r>
            <w:r w:rsidR="00EF6505">
              <w:rPr>
                <w:noProof/>
                <w:webHidden/>
              </w:rPr>
              <w:t>12</w:t>
            </w:r>
            <w:r w:rsidR="00B77B6F">
              <w:rPr>
                <w:noProof/>
                <w:webHidden/>
              </w:rPr>
              <w:fldChar w:fldCharType="end"/>
            </w:r>
          </w:hyperlink>
        </w:p>
        <w:p w14:paraId="4BD9B3B7" w14:textId="4FBD924A" w:rsidR="00B77B6F" w:rsidRDefault="00786046">
          <w:pPr>
            <w:pStyle w:val="TOC3"/>
            <w:tabs>
              <w:tab w:val="right" w:leader="dot" w:pos="9350"/>
            </w:tabs>
            <w:rPr>
              <w:rFonts w:eastAsiaTheme="minorEastAsia"/>
              <w:noProof/>
              <w:lang w:eastAsia="bg-BG"/>
            </w:rPr>
          </w:pPr>
          <w:hyperlink w:anchor="_Toc202730009" w:history="1">
            <w:r w:rsidR="00B77B6F" w:rsidRPr="00CC1920">
              <w:rPr>
                <w:rStyle w:val="Hyperlink"/>
                <w:rFonts w:ascii="Times New Roman" w:hAnsi="Times New Roman" w:cs="Times New Roman"/>
                <w:b/>
                <w:noProof/>
              </w:rPr>
              <w:t>1.3.</w:t>
            </w:r>
            <w:r w:rsidR="00B77B6F" w:rsidRPr="00CC1920">
              <w:rPr>
                <w:rStyle w:val="Hyperlink"/>
                <w:b/>
                <w:noProof/>
              </w:rPr>
              <w:t xml:space="preserve"> </w:t>
            </w:r>
            <w:r w:rsidR="00B77B6F" w:rsidRPr="00CC1920">
              <w:rPr>
                <w:rStyle w:val="Hyperlink"/>
                <w:rFonts w:ascii="Times New Roman" w:hAnsi="Times New Roman" w:cs="Times New Roman"/>
                <w:b/>
                <w:noProof/>
              </w:rPr>
              <w:t xml:space="preserve">Алтернативи за </w:t>
            </w:r>
            <w:r w:rsidR="005B5EB3">
              <w:rPr>
                <w:rStyle w:val="Hyperlink"/>
                <w:rFonts w:ascii="Times New Roman" w:hAnsi="Times New Roman" w:cs="Times New Roman"/>
                <w:b/>
                <w:noProof/>
              </w:rPr>
              <w:t>ИПЕК</w:t>
            </w:r>
            <w:r w:rsidR="00B77B6F">
              <w:rPr>
                <w:noProof/>
                <w:webHidden/>
              </w:rPr>
              <w:tab/>
            </w:r>
            <w:r w:rsidR="00B77B6F">
              <w:rPr>
                <w:noProof/>
                <w:webHidden/>
              </w:rPr>
              <w:fldChar w:fldCharType="begin"/>
            </w:r>
            <w:r w:rsidR="00B77B6F">
              <w:rPr>
                <w:noProof/>
                <w:webHidden/>
              </w:rPr>
              <w:instrText xml:space="preserve"> PAGEREF _Toc202730009 \h </w:instrText>
            </w:r>
            <w:r w:rsidR="00B77B6F">
              <w:rPr>
                <w:noProof/>
                <w:webHidden/>
              </w:rPr>
            </w:r>
            <w:r w:rsidR="00B77B6F">
              <w:rPr>
                <w:noProof/>
                <w:webHidden/>
              </w:rPr>
              <w:fldChar w:fldCharType="separate"/>
            </w:r>
            <w:r w:rsidR="00EF6505">
              <w:rPr>
                <w:noProof/>
                <w:webHidden/>
              </w:rPr>
              <w:t>121</w:t>
            </w:r>
            <w:r w:rsidR="00B77B6F">
              <w:rPr>
                <w:noProof/>
                <w:webHidden/>
              </w:rPr>
              <w:fldChar w:fldCharType="end"/>
            </w:r>
          </w:hyperlink>
        </w:p>
        <w:p w14:paraId="79D04A78" w14:textId="31BD8F56" w:rsidR="00B77B6F" w:rsidRDefault="00786046">
          <w:pPr>
            <w:pStyle w:val="TOC3"/>
            <w:tabs>
              <w:tab w:val="right" w:leader="dot" w:pos="9350"/>
            </w:tabs>
            <w:rPr>
              <w:rFonts w:eastAsiaTheme="minorEastAsia"/>
              <w:noProof/>
              <w:lang w:eastAsia="bg-BG"/>
            </w:rPr>
          </w:pPr>
          <w:hyperlink w:anchor="_Toc202730010" w:history="1">
            <w:r w:rsidR="00B77B6F" w:rsidRPr="00CC1920">
              <w:rPr>
                <w:rStyle w:val="Hyperlink"/>
                <w:rFonts w:ascii="Times New Roman" w:hAnsi="Times New Roman" w:cs="Times New Roman"/>
                <w:b/>
                <w:noProof/>
              </w:rPr>
              <w:t xml:space="preserve">1.4. Връзка на </w:t>
            </w:r>
            <w:r w:rsidR="005B5EB3">
              <w:rPr>
                <w:rStyle w:val="Hyperlink"/>
                <w:rFonts w:ascii="Times New Roman" w:hAnsi="Times New Roman" w:cs="Times New Roman"/>
                <w:b/>
                <w:noProof/>
              </w:rPr>
              <w:t>ИПЕК</w:t>
            </w:r>
            <w:r w:rsidR="00B77B6F" w:rsidRPr="00CC1920">
              <w:rPr>
                <w:rStyle w:val="Hyperlink"/>
                <w:rFonts w:ascii="Times New Roman" w:hAnsi="Times New Roman" w:cs="Times New Roman"/>
                <w:b/>
                <w:noProof/>
              </w:rPr>
              <w:t xml:space="preserve"> с други съотносими планове, програми и стратегии</w:t>
            </w:r>
            <w:r w:rsidR="00B77B6F">
              <w:rPr>
                <w:noProof/>
                <w:webHidden/>
              </w:rPr>
              <w:tab/>
            </w:r>
            <w:r w:rsidR="00B77B6F">
              <w:rPr>
                <w:noProof/>
                <w:webHidden/>
              </w:rPr>
              <w:fldChar w:fldCharType="begin"/>
            </w:r>
            <w:r w:rsidR="00B77B6F">
              <w:rPr>
                <w:noProof/>
                <w:webHidden/>
              </w:rPr>
              <w:instrText xml:space="preserve"> PAGEREF _Toc202730010 \h </w:instrText>
            </w:r>
            <w:r w:rsidR="00B77B6F">
              <w:rPr>
                <w:noProof/>
                <w:webHidden/>
              </w:rPr>
            </w:r>
            <w:r w:rsidR="00B77B6F">
              <w:rPr>
                <w:noProof/>
                <w:webHidden/>
              </w:rPr>
              <w:fldChar w:fldCharType="separate"/>
            </w:r>
            <w:r w:rsidR="00EF6505">
              <w:rPr>
                <w:noProof/>
                <w:webHidden/>
              </w:rPr>
              <w:t>121</w:t>
            </w:r>
            <w:r w:rsidR="00B77B6F">
              <w:rPr>
                <w:noProof/>
                <w:webHidden/>
              </w:rPr>
              <w:fldChar w:fldCharType="end"/>
            </w:r>
          </w:hyperlink>
        </w:p>
        <w:p w14:paraId="46C5D960" w14:textId="6A84126C" w:rsidR="00B77B6F" w:rsidRDefault="00786046">
          <w:pPr>
            <w:pStyle w:val="TOC2"/>
            <w:tabs>
              <w:tab w:val="left" w:pos="660"/>
              <w:tab w:val="right" w:leader="dot" w:pos="9350"/>
            </w:tabs>
            <w:rPr>
              <w:rFonts w:eastAsiaTheme="minorEastAsia"/>
              <w:noProof/>
              <w:lang w:eastAsia="bg-BG"/>
            </w:rPr>
          </w:pPr>
          <w:hyperlink w:anchor="_Toc202730011" w:history="1">
            <w:r w:rsidR="00B77B6F" w:rsidRPr="00CC1920">
              <w:rPr>
                <w:rStyle w:val="Hyperlink"/>
                <w:rFonts w:ascii="Times New Roman" w:hAnsi="Times New Roman" w:cs="Times New Roman"/>
                <w:b/>
                <w:i/>
                <w:noProof/>
              </w:rPr>
              <w:t>2.</w:t>
            </w:r>
            <w:r w:rsidR="00B77B6F">
              <w:rPr>
                <w:rFonts w:eastAsiaTheme="minorEastAsia"/>
                <w:noProof/>
                <w:lang w:eastAsia="bg-BG"/>
              </w:rPr>
              <w:tab/>
            </w:r>
            <w:r w:rsidR="00B77B6F" w:rsidRPr="00CC1920">
              <w:rPr>
                <w:rStyle w:val="Hyperlink"/>
                <w:rFonts w:ascii="Times New Roman" w:hAnsi="Times New Roman" w:cs="Times New Roman"/>
                <w:b/>
                <w:i/>
                <w:noProof/>
              </w:rPr>
              <w:t xml:space="preserve">Текущо състояние на околната среда и евентуално развитие без прилагането на </w:t>
            </w:r>
            <w:r w:rsidR="005B5EB3">
              <w:rPr>
                <w:rStyle w:val="Hyperlink"/>
                <w:rFonts w:ascii="Times New Roman" w:hAnsi="Times New Roman" w:cs="Times New Roman"/>
                <w:b/>
                <w:i/>
                <w:noProof/>
              </w:rPr>
              <w:t>ИПЕК</w:t>
            </w:r>
            <w:r w:rsidR="00B77B6F" w:rsidRPr="00CC1920">
              <w:rPr>
                <w:rStyle w:val="Hyperlink"/>
                <w:rFonts w:ascii="Times New Roman" w:hAnsi="Times New Roman" w:cs="Times New Roman"/>
                <w:b/>
                <w:i/>
                <w:noProof/>
              </w:rPr>
              <w:t>.</w:t>
            </w:r>
            <w:r w:rsidR="00B77B6F">
              <w:rPr>
                <w:noProof/>
                <w:webHidden/>
              </w:rPr>
              <w:tab/>
            </w:r>
            <w:r w:rsidR="00B77B6F">
              <w:rPr>
                <w:noProof/>
                <w:webHidden/>
              </w:rPr>
              <w:fldChar w:fldCharType="begin"/>
            </w:r>
            <w:r w:rsidR="00B77B6F">
              <w:rPr>
                <w:noProof/>
                <w:webHidden/>
              </w:rPr>
              <w:instrText xml:space="preserve"> PAGEREF _Toc202730011 \h </w:instrText>
            </w:r>
            <w:r w:rsidR="00B77B6F">
              <w:rPr>
                <w:noProof/>
                <w:webHidden/>
              </w:rPr>
            </w:r>
            <w:r w:rsidR="00B77B6F">
              <w:rPr>
                <w:noProof/>
                <w:webHidden/>
              </w:rPr>
              <w:fldChar w:fldCharType="separate"/>
            </w:r>
            <w:r w:rsidR="00EF6505">
              <w:rPr>
                <w:noProof/>
                <w:webHidden/>
              </w:rPr>
              <w:t>124</w:t>
            </w:r>
            <w:r w:rsidR="00B77B6F">
              <w:rPr>
                <w:noProof/>
                <w:webHidden/>
              </w:rPr>
              <w:fldChar w:fldCharType="end"/>
            </w:r>
          </w:hyperlink>
        </w:p>
        <w:p w14:paraId="2F31146A" w14:textId="363BD043" w:rsidR="00B77B6F" w:rsidRDefault="00786046">
          <w:pPr>
            <w:pStyle w:val="TOC3"/>
            <w:tabs>
              <w:tab w:val="left" w:pos="1100"/>
              <w:tab w:val="right" w:leader="dot" w:pos="9350"/>
            </w:tabs>
            <w:rPr>
              <w:rFonts w:eastAsiaTheme="minorEastAsia"/>
              <w:noProof/>
              <w:lang w:eastAsia="bg-BG"/>
            </w:rPr>
          </w:pPr>
          <w:hyperlink w:anchor="_Toc202730012" w:history="1">
            <w:r w:rsidR="00B77B6F" w:rsidRPr="00CC1920">
              <w:rPr>
                <w:rStyle w:val="Hyperlink"/>
                <w:rFonts w:ascii="Times New Roman" w:hAnsi="Times New Roman" w:cs="Times New Roman"/>
                <w:b/>
                <w:noProof/>
              </w:rPr>
              <w:t>2.1.</w:t>
            </w:r>
            <w:r w:rsidR="00B77B6F">
              <w:rPr>
                <w:rFonts w:eastAsiaTheme="minorEastAsia"/>
                <w:noProof/>
                <w:lang w:eastAsia="bg-BG"/>
              </w:rPr>
              <w:tab/>
            </w:r>
            <w:r w:rsidR="00B77B6F" w:rsidRPr="00CC1920">
              <w:rPr>
                <w:rStyle w:val="Hyperlink"/>
                <w:rFonts w:ascii="Times New Roman" w:hAnsi="Times New Roman" w:cs="Times New Roman"/>
                <w:b/>
                <w:noProof/>
              </w:rPr>
              <w:t>Текущо състояние на околната среда</w:t>
            </w:r>
            <w:r w:rsidR="00B77B6F">
              <w:rPr>
                <w:noProof/>
                <w:webHidden/>
              </w:rPr>
              <w:tab/>
            </w:r>
            <w:r w:rsidR="00B77B6F">
              <w:rPr>
                <w:noProof/>
                <w:webHidden/>
              </w:rPr>
              <w:fldChar w:fldCharType="begin"/>
            </w:r>
            <w:r w:rsidR="00B77B6F">
              <w:rPr>
                <w:noProof/>
                <w:webHidden/>
              </w:rPr>
              <w:instrText xml:space="preserve"> PAGEREF _Toc202730012 \h </w:instrText>
            </w:r>
            <w:r w:rsidR="00B77B6F">
              <w:rPr>
                <w:noProof/>
                <w:webHidden/>
              </w:rPr>
            </w:r>
            <w:r w:rsidR="00B77B6F">
              <w:rPr>
                <w:noProof/>
                <w:webHidden/>
              </w:rPr>
              <w:fldChar w:fldCharType="separate"/>
            </w:r>
            <w:r w:rsidR="00EF6505">
              <w:rPr>
                <w:noProof/>
                <w:webHidden/>
              </w:rPr>
              <w:t>124</w:t>
            </w:r>
            <w:r w:rsidR="00B77B6F">
              <w:rPr>
                <w:noProof/>
                <w:webHidden/>
              </w:rPr>
              <w:fldChar w:fldCharType="end"/>
            </w:r>
          </w:hyperlink>
        </w:p>
        <w:p w14:paraId="08E8E680" w14:textId="592B80B8" w:rsidR="00B77B6F" w:rsidRDefault="00786046">
          <w:pPr>
            <w:pStyle w:val="TOC3"/>
            <w:tabs>
              <w:tab w:val="left" w:pos="1100"/>
              <w:tab w:val="right" w:leader="dot" w:pos="9350"/>
            </w:tabs>
            <w:rPr>
              <w:rFonts w:eastAsiaTheme="minorEastAsia"/>
              <w:noProof/>
              <w:lang w:eastAsia="bg-BG"/>
            </w:rPr>
          </w:pPr>
          <w:hyperlink w:anchor="_Toc202730013" w:history="1">
            <w:r w:rsidR="00B77B6F" w:rsidRPr="00CC1920">
              <w:rPr>
                <w:rStyle w:val="Hyperlink"/>
                <w:rFonts w:ascii="Times New Roman" w:hAnsi="Times New Roman" w:cs="Times New Roman"/>
                <w:b/>
                <w:noProof/>
              </w:rPr>
              <w:t>2.2.</w:t>
            </w:r>
            <w:r w:rsidR="00B77B6F">
              <w:rPr>
                <w:rFonts w:eastAsiaTheme="minorEastAsia"/>
                <w:noProof/>
                <w:lang w:eastAsia="bg-BG"/>
              </w:rPr>
              <w:tab/>
            </w:r>
            <w:r w:rsidR="00B77B6F" w:rsidRPr="00CC1920">
              <w:rPr>
                <w:rStyle w:val="Hyperlink"/>
                <w:rFonts w:ascii="Times New Roman" w:hAnsi="Times New Roman" w:cs="Times New Roman"/>
                <w:b/>
                <w:noProof/>
              </w:rPr>
              <w:t xml:space="preserve">Евентуално развитие на околната среда без прилагането на </w:t>
            </w:r>
            <w:r w:rsidR="005B5EB3">
              <w:rPr>
                <w:rStyle w:val="Hyperlink"/>
                <w:rFonts w:ascii="Times New Roman" w:hAnsi="Times New Roman" w:cs="Times New Roman"/>
                <w:b/>
                <w:noProof/>
              </w:rPr>
              <w:t>ИПЕК</w:t>
            </w:r>
            <w:r w:rsidR="00B77B6F">
              <w:rPr>
                <w:noProof/>
                <w:webHidden/>
              </w:rPr>
              <w:tab/>
            </w:r>
            <w:r w:rsidR="00B77B6F">
              <w:rPr>
                <w:noProof/>
                <w:webHidden/>
              </w:rPr>
              <w:fldChar w:fldCharType="begin"/>
            </w:r>
            <w:r w:rsidR="00B77B6F">
              <w:rPr>
                <w:noProof/>
                <w:webHidden/>
              </w:rPr>
              <w:instrText xml:space="preserve"> PAGEREF _Toc202730013 \h </w:instrText>
            </w:r>
            <w:r w:rsidR="00B77B6F">
              <w:rPr>
                <w:noProof/>
                <w:webHidden/>
              </w:rPr>
            </w:r>
            <w:r w:rsidR="00B77B6F">
              <w:rPr>
                <w:noProof/>
                <w:webHidden/>
              </w:rPr>
              <w:fldChar w:fldCharType="separate"/>
            </w:r>
            <w:r w:rsidR="00EF6505">
              <w:rPr>
                <w:noProof/>
                <w:webHidden/>
              </w:rPr>
              <w:t>155</w:t>
            </w:r>
            <w:r w:rsidR="00B77B6F">
              <w:rPr>
                <w:noProof/>
                <w:webHidden/>
              </w:rPr>
              <w:fldChar w:fldCharType="end"/>
            </w:r>
          </w:hyperlink>
        </w:p>
        <w:p w14:paraId="69DF749E" w14:textId="7044B0C4" w:rsidR="00B77B6F" w:rsidRDefault="00786046">
          <w:pPr>
            <w:pStyle w:val="TOC2"/>
            <w:tabs>
              <w:tab w:val="left" w:pos="660"/>
              <w:tab w:val="right" w:leader="dot" w:pos="9350"/>
            </w:tabs>
            <w:rPr>
              <w:rFonts w:eastAsiaTheme="minorEastAsia"/>
              <w:noProof/>
              <w:lang w:eastAsia="bg-BG"/>
            </w:rPr>
          </w:pPr>
          <w:hyperlink w:anchor="_Toc202730014" w:history="1">
            <w:r w:rsidR="00B77B6F" w:rsidRPr="00CC1920">
              <w:rPr>
                <w:rStyle w:val="Hyperlink"/>
                <w:rFonts w:ascii="Times New Roman" w:hAnsi="Times New Roman" w:cs="Times New Roman"/>
                <w:b/>
                <w:i/>
                <w:noProof/>
              </w:rPr>
              <w:t>3.</w:t>
            </w:r>
            <w:r w:rsidR="00B77B6F">
              <w:rPr>
                <w:rFonts w:eastAsiaTheme="minorEastAsia"/>
                <w:noProof/>
                <w:lang w:eastAsia="bg-BG"/>
              </w:rPr>
              <w:tab/>
            </w:r>
            <w:r w:rsidR="00B77B6F" w:rsidRPr="00CC1920">
              <w:rPr>
                <w:rStyle w:val="Hyperlink"/>
                <w:rFonts w:ascii="Times New Roman" w:hAnsi="Times New Roman" w:cs="Times New Roman"/>
                <w:b/>
                <w:i/>
                <w:noProof/>
              </w:rPr>
              <w:t xml:space="preserve">Характеристика на околната среда за територии, които вероятно ще бъдат значително засегнати с реализацията на </w:t>
            </w:r>
            <w:r w:rsidR="005B5EB3">
              <w:rPr>
                <w:rStyle w:val="Hyperlink"/>
                <w:rFonts w:ascii="Times New Roman" w:hAnsi="Times New Roman" w:cs="Times New Roman"/>
                <w:b/>
                <w:i/>
                <w:noProof/>
              </w:rPr>
              <w:t>ИПЕК</w:t>
            </w:r>
            <w:r w:rsidR="00B77B6F" w:rsidRPr="00CC1920">
              <w:rPr>
                <w:rStyle w:val="Hyperlink"/>
                <w:rFonts w:ascii="Times New Roman" w:hAnsi="Times New Roman" w:cs="Times New Roman"/>
                <w:b/>
                <w:i/>
                <w:noProof/>
              </w:rPr>
              <w:t>.</w:t>
            </w:r>
            <w:r w:rsidR="00B77B6F">
              <w:rPr>
                <w:noProof/>
                <w:webHidden/>
              </w:rPr>
              <w:tab/>
            </w:r>
            <w:r w:rsidR="00B77B6F">
              <w:rPr>
                <w:noProof/>
                <w:webHidden/>
              </w:rPr>
              <w:fldChar w:fldCharType="begin"/>
            </w:r>
            <w:r w:rsidR="00B77B6F">
              <w:rPr>
                <w:noProof/>
                <w:webHidden/>
              </w:rPr>
              <w:instrText xml:space="preserve"> PAGEREF _Toc202730014 \h </w:instrText>
            </w:r>
            <w:r w:rsidR="00B77B6F">
              <w:rPr>
                <w:noProof/>
                <w:webHidden/>
              </w:rPr>
            </w:r>
            <w:r w:rsidR="00B77B6F">
              <w:rPr>
                <w:noProof/>
                <w:webHidden/>
              </w:rPr>
              <w:fldChar w:fldCharType="separate"/>
            </w:r>
            <w:r w:rsidR="00EF6505">
              <w:rPr>
                <w:noProof/>
                <w:webHidden/>
              </w:rPr>
              <w:t>156</w:t>
            </w:r>
            <w:r w:rsidR="00B77B6F">
              <w:rPr>
                <w:noProof/>
                <w:webHidden/>
              </w:rPr>
              <w:fldChar w:fldCharType="end"/>
            </w:r>
          </w:hyperlink>
        </w:p>
        <w:p w14:paraId="3C89D379" w14:textId="1F6221A4" w:rsidR="00B77B6F" w:rsidRDefault="00786046">
          <w:pPr>
            <w:pStyle w:val="TOC2"/>
            <w:tabs>
              <w:tab w:val="left" w:pos="660"/>
              <w:tab w:val="right" w:leader="dot" w:pos="9350"/>
            </w:tabs>
            <w:rPr>
              <w:rFonts w:eastAsiaTheme="minorEastAsia"/>
              <w:noProof/>
              <w:lang w:eastAsia="bg-BG"/>
            </w:rPr>
          </w:pPr>
          <w:hyperlink w:anchor="_Toc202730015" w:history="1">
            <w:r w:rsidR="00B77B6F" w:rsidRPr="00CC1920">
              <w:rPr>
                <w:rStyle w:val="Hyperlink"/>
                <w:rFonts w:ascii="Times New Roman" w:hAnsi="Times New Roman" w:cs="Times New Roman"/>
                <w:b/>
                <w:i/>
                <w:noProof/>
              </w:rPr>
              <w:t>4.</w:t>
            </w:r>
            <w:r w:rsidR="00B77B6F">
              <w:rPr>
                <w:rFonts w:eastAsiaTheme="minorEastAsia"/>
                <w:noProof/>
                <w:lang w:eastAsia="bg-BG"/>
              </w:rPr>
              <w:tab/>
            </w:r>
            <w:r w:rsidR="00B77B6F" w:rsidRPr="00CC1920">
              <w:rPr>
                <w:rStyle w:val="Hyperlink"/>
                <w:rFonts w:ascii="Times New Roman" w:hAnsi="Times New Roman" w:cs="Times New Roman"/>
                <w:b/>
                <w:i/>
                <w:noProof/>
              </w:rPr>
              <w:t xml:space="preserve">Съществуващи екологични проблеми, установени на различно ниво, имащи отношение към </w:t>
            </w:r>
            <w:r w:rsidR="005B5EB3">
              <w:rPr>
                <w:rStyle w:val="Hyperlink"/>
                <w:rFonts w:ascii="Times New Roman" w:hAnsi="Times New Roman" w:cs="Times New Roman"/>
                <w:b/>
                <w:i/>
                <w:noProof/>
              </w:rPr>
              <w:t>ИПЕК</w:t>
            </w:r>
            <w:r w:rsidR="00B77B6F" w:rsidRPr="00CC1920">
              <w:rPr>
                <w:rStyle w:val="Hyperlink"/>
                <w:rFonts w:ascii="Times New Roman" w:eastAsia="Times New Roman" w:hAnsi="Times New Roman" w:cs="Times New Roman"/>
                <w:b/>
                <w:i/>
                <w:noProof/>
              </w:rPr>
              <w:t>, включително отнасящите се до райони с особено екологично значение, като защитените зони по Закона за биологичното разнообразие</w:t>
            </w:r>
            <w:r w:rsidR="00B77B6F">
              <w:rPr>
                <w:noProof/>
                <w:webHidden/>
              </w:rPr>
              <w:tab/>
            </w:r>
            <w:r w:rsidR="00B77B6F">
              <w:rPr>
                <w:noProof/>
                <w:webHidden/>
              </w:rPr>
              <w:fldChar w:fldCharType="begin"/>
            </w:r>
            <w:r w:rsidR="00B77B6F">
              <w:rPr>
                <w:noProof/>
                <w:webHidden/>
              </w:rPr>
              <w:instrText xml:space="preserve"> PAGEREF _Toc202730015 \h </w:instrText>
            </w:r>
            <w:r w:rsidR="00B77B6F">
              <w:rPr>
                <w:noProof/>
                <w:webHidden/>
              </w:rPr>
            </w:r>
            <w:r w:rsidR="00B77B6F">
              <w:rPr>
                <w:noProof/>
                <w:webHidden/>
              </w:rPr>
              <w:fldChar w:fldCharType="separate"/>
            </w:r>
            <w:r w:rsidR="00EF6505">
              <w:rPr>
                <w:noProof/>
                <w:webHidden/>
              </w:rPr>
              <w:t>156</w:t>
            </w:r>
            <w:r w:rsidR="00B77B6F">
              <w:rPr>
                <w:noProof/>
                <w:webHidden/>
              </w:rPr>
              <w:fldChar w:fldCharType="end"/>
            </w:r>
          </w:hyperlink>
        </w:p>
        <w:p w14:paraId="0E82AF63" w14:textId="2ABF7A4A" w:rsidR="00B77B6F" w:rsidRDefault="00786046">
          <w:pPr>
            <w:pStyle w:val="TOC2"/>
            <w:tabs>
              <w:tab w:val="left" w:pos="660"/>
              <w:tab w:val="right" w:leader="dot" w:pos="9350"/>
            </w:tabs>
            <w:rPr>
              <w:rFonts w:eastAsiaTheme="minorEastAsia"/>
              <w:noProof/>
              <w:lang w:eastAsia="bg-BG"/>
            </w:rPr>
          </w:pPr>
          <w:hyperlink w:anchor="_Toc202730016" w:history="1">
            <w:r w:rsidR="00B77B6F" w:rsidRPr="00CC1920">
              <w:rPr>
                <w:rStyle w:val="Hyperlink"/>
                <w:rFonts w:ascii="Times New Roman" w:hAnsi="Times New Roman" w:cs="Times New Roman"/>
                <w:b/>
                <w:i/>
                <w:noProof/>
              </w:rPr>
              <w:t>5.</w:t>
            </w:r>
            <w:r w:rsidR="00B77B6F">
              <w:rPr>
                <w:rFonts w:eastAsiaTheme="minorEastAsia"/>
                <w:noProof/>
                <w:lang w:eastAsia="bg-BG"/>
              </w:rPr>
              <w:tab/>
            </w:r>
            <w:r w:rsidR="00B77B6F" w:rsidRPr="00CC1920">
              <w:rPr>
                <w:rStyle w:val="Hyperlink"/>
                <w:rFonts w:ascii="Times New Roman" w:hAnsi="Times New Roman" w:cs="Times New Roman"/>
                <w:b/>
                <w:i/>
                <w:noProof/>
              </w:rPr>
              <w:t xml:space="preserve">Цели на опазване на околната среда на национално и международно равнище, имащи отношение към </w:t>
            </w:r>
            <w:r w:rsidR="005B5EB3">
              <w:rPr>
                <w:rStyle w:val="Hyperlink"/>
                <w:rFonts w:ascii="Times New Roman" w:hAnsi="Times New Roman" w:cs="Times New Roman"/>
                <w:b/>
                <w:i/>
                <w:noProof/>
              </w:rPr>
              <w:t>ИПЕК</w:t>
            </w:r>
            <w:r w:rsidR="00B77B6F" w:rsidRPr="00CC1920">
              <w:rPr>
                <w:rStyle w:val="Hyperlink"/>
                <w:rFonts w:ascii="Times New Roman" w:hAnsi="Times New Roman" w:cs="Times New Roman"/>
                <w:b/>
                <w:i/>
                <w:noProof/>
              </w:rPr>
              <w:t xml:space="preserve">  и начин, по който тези цели и всички екологични съображения са взети под внимание при изготвянето на плана</w:t>
            </w:r>
            <w:r w:rsidR="00B77B6F">
              <w:rPr>
                <w:noProof/>
                <w:webHidden/>
              </w:rPr>
              <w:tab/>
            </w:r>
            <w:r w:rsidR="00B77B6F">
              <w:rPr>
                <w:noProof/>
                <w:webHidden/>
              </w:rPr>
              <w:fldChar w:fldCharType="begin"/>
            </w:r>
            <w:r w:rsidR="00B77B6F">
              <w:rPr>
                <w:noProof/>
                <w:webHidden/>
              </w:rPr>
              <w:instrText xml:space="preserve"> PAGEREF _Toc202730016 \h </w:instrText>
            </w:r>
            <w:r w:rsidR="00B77B6F">
              <w:rPr>
                <w:noProof/>
                <w:webHidden/>
              </w:rPr>
            </w:r>
            <w:r w:rsidR="00B77B6F">
              <w:rPr>
                <w:noProof/>
                <w:webHidden/>
              </w:rPr>
              <w:fldChar w:fldCharType="separate"/>
            </w:r>
            <w:r w:rsidR="00EF6505">
              <w:rPr>
                <w:noProof/>
                <w:webHidden/>
              </w:rPr>
              <w:t>156</w:t>
            </w:r>
            <w:r w:rsidR="00B77B6F">
              <w:rPr>
                <w:noProof/>
                <w:webHidden/>
              </w:rPr>
              <w:fldChar w:fldCharType="end"/>
            </w:r>
          </w:hyperlink>
        </w:p>
        <w:p w14:paraId="468F280E" w14:textId="76F3FB55" w:rsidR="00B77B6F" w:rsidRDefault="00786046">
          <w:pPr>
            <w:pStyle w:val="TOC2"/>
            <w:tabs>
              <w:tab w:val="left" w:pos="660"/>
              <w:tab w:val="right" w:leader="dot" w:pos="9350"/>
            </w:tabs>
            <w:rPr>
              <w:rFonts w:eastAsiaTheme="minorEastAsia"/>
              <w:noProof/>
              <w:lang w:eastAsia="bg-BG"/>
            </w:rPr>
          </w:pPr>
          <w:hyperlink w:anchor="_Toc202730017" w:history="1">
            <w:r w:rsidR="00B77B6F" w:rsidRPr="00CC1920">
              <w:rPr>
                <w:rStyle w:val="Hyperlink"/>
                <w:rFonts w:ascii="Times New Roman" w:hAnsi="Times New Roman" w:cs="Times New Roman"/>
                <w:b/>
                <w:i/>
                <w:noProof/>
              </w:rPr>
              <w:t>6.</w:t>
            </w:r>
            <w:r w:rsidR="00B77B6F">
              <w:rPr>
                <w:rFonts w:eastAsiaTheme="minorEastAsia"/>
                <w:noProof/>
                <w:lang w:eastAsia="bg-BG"/>
              </w:rPr>
              <w:tab/>
            </w:r>
            <w:r w:rsidR="00B77B6F" w:rsidRPr="00CC1920">
              <w:rPr>
                <w:rStyle w:val="Hyperlink"/>
                <w:rFonts w:ascii="Times New Roman" w:hAnsi="Times New Roman" w:cs="Times New Roman"/>
                <w:b/>
                <w:i/>
                <w:noProof/>
              </w:rPr>
              <w:t>Вероятни значителни въздействия върху околната среда и човешкото здраве, в т.ч. трансгранични въздействия върху околната среда на други държави</w:t>
            </w:r>
            <w:r w:rsidR="00B77B6F">
              <w:rPr>
                <w:noProof/>
                <w:webHidden/>
              </w:rPr>
              <w:tab/>
            </w:r>
            <w:r w:rsidR="00B77B6F">
              <w:rPr>
                <w:noProof/>
                <w:webHidden/>
              </w:rPr>
              <w:fldChar w:fldCharType="begin"/>
            </w:r>
            <w:r w:rsidR="00B77B6F">
              <w:rPr>
                <w:noProof/>
                <w:webHidden/>
              </w:rPr>
              <w:instrText xml:space="preserve"> PAGEREF _Toc202730017 \h </w:instrText>
            </w:r>
            <w:r w:rsidR="00B77B6F">
              <w:rPr>
                <w:noProof/>
                <w:webHidden/>
              </w:rPr>
            </w:r>
            <w:r w:rsidR="00B77B6F">
              <w:rPr>
                <w:noProof/>
                <w:webHidden/>
              </w:rPr>
              <w:fldChar w:fldCharType="separate"/>
            </w:r>
            <w:r w:rsidR="00EF6505">
              <w:rPr>
                <w:noProof/>
                <w:webHidden/>
              </w:rPr>
              <w:t>157</w:t>
            </w:r>
            <w:r w:rsidR="00B77B6F">
              <w:rPr>
                <w:noProof/>
                <w:webHidden/>
              </w:rPr>
              <w:fldChar w:fldCharType="end"/>
            </w:r>
          </w:hyperlink>
        </w:p>
        <w:p w14:paraId="7D0078AC" w14:textId="3FD7E0E8" w:rsidR="00B77B6F" w:rsidRDefault="00786046">
          <w:pPr>
            <w:pStyle w:val="TOC3"/>
            <w:tabs>
              <w:tab w:val="right" w:leader="dot" w:pos="9350"/>
            </w:tabs>
            <w:rPr>
              <w:rFonts w:eastAsiaTheme="minorEastAsia"/>
              <w:noProof/>
              <w:lang w:eastAsia="bg-BG"/>
            </w:rPr>
          </w:pPr>
          <w:hyperlink w:anchor="_Toc202730018" w:history="1">
            <w:r w:rsidR="00B77B6F" w:rsidRPr="00CC1920">
              <w:rPr>
                <w:rStyle w:val="Hyperlink"/>
                <w:rFonts w:ascii="Times New Roman" w:hAnsi="Times New Roman" w:cs="Times New Roman"/>
                <w:b/>
                <w:noProof/>
              </w:rPr>
              <w:t>6.1. Стратегическо ниво на въздействие</w:t>
            </w:r>
            <w:r w:rsidR="00B77B6F">
              <w:rPr>
                <w:noProof/>
                <w:webHidden/>
              </w:rPr>
              <w:tab/>
            </w:r>
            <w:r w:rsidR="00B77B6F">
              <w:rPr>
                <w:noProof/>
                <w:webHidden/>
              </w:rPr>
              <w:fldChar w:fldCharType="begin"/>
            </w:r>
            <w:r w:rsidR="00B77B6F">
              <w:rPr>
                <w:noProof/>
                <w:webHidden/>
              </w:rPr>
              <w:instrText xml:space="preserve"> PAGEREF _Toc202730018 \h </w:instrText>
            </w:r>
            <w:r w:rsidR="00B77B6F">
              <w:rPr>
                <w:noProof/>
                <w:webHidden/>
              </w:rPr>
            </w:r>
            <w:r w:rsidR="00B77B6F">
              <w:rPr>
                <w:noProof/>
                <w:webHidden/>
              </w:rPr>
              <w:fldChar w:fldCharType="separate"/>
            </w:r>
            <w:r w:rsidR="00EF6505">
              <w:rPr>
                <w:noProof/>
                <w:webHidden/>
              </w:rPr>
              <w:t>157</w:t>
            </w:r>
            <w:r w:rsidR="00B77B6F">
              <w:rPr>
                <w:noProof/>
                <w:webHidden/>
              </w:rPr>
              <w:fldChar w:fldCharType="end"/>
            </w:r>
          </w:hyperlink>
        </w:p>
        <w:p w14:paraId="16226BA7" w14:textId="472899F7" w:rsidR="00B77B6F" w:rsidRDefault="00786046">
          <w:pPr>
            <w:pStyle w:val="TOC3"/>
            <w:tabs>
              <w:tab w:val="right" w:leader="dot" w:pos="9350"/>
            </w:tabs>
            <w:rPr>
              <w:rFonts w:eastAsiaTheme="minorEastAsia"/>
              <w:noProof/>
              <w:lang w:eastAsia="bg-BG"/>
            </w:rPr>
          </w:pPr>
          <w:hyperlink w:anchor="_Toc202730019" w:history="1">
            <w:r w:rsidR="00B77B6F" w:rsidRPr="00CC1920">
              <w:rPr>
                <w:rStyle w:val="Hyperlink"/>
                <w:rFonts w:ascii="Times New Roman" w:hAnsi="Times New Roman" w:cs="Times New Roman"/>
                <w:b/>
                <w:noProof/>
              </w:rPr>
              <w:t>6.2. Въздействие на ниво „идентифицирани проекти“</w:t>
            </w:r>
            <w:r w:rsidR="00B77B6F">
              <w:rPr>
                <w:noProof/>
                <w:webHidden/>
              </w:rPr>
              <w:tab/>
            </w:r>
            <w:r w:rsidR="00B77B6F">
              <w:rPr>
                <w:noProof/>
                <w:webHidden/>
              </w:rPr>
              <w:fldChar w:fldCharType="begin"/>
            </w:r>
            <w:r w:rsidR="00B77B6F">
              <w:rPr>
                <w:noProof/>
                <w:webHidden/>
              </w:rPr>
              <w:instrText xml:space="preserve"> PAGEREF _Toc202730019 \h </w:instrText>
            </w:r>
            <w:r w:rsidR="00B77B6F">
              <w:rPr>
                <w:noProof/>
                <w:webHidden/>
              </w:rPr>
            </w:r>
            <w:r w:rsidR="00B77B6F">
              <w:rPr>
                <w:noProof/>
                <w:webHidden/>
              </w:rPr>
              <w:fldChar w:fldCharType="separate"/>
            </w:r>
            <w:r w:rsidR="00EF6505">
              <w:rPr>
                <w:noProof/>
                <w:webHidden/>
              </w:rPr>
              <w:t>157</w:t>
            </w:r>
            <w:r w:rsidR="00B77B6F">
              <w:rPr>
                <w:noProof/>
                <w:webHidden/>
              </w:rPr>
              <w:fldChar w:fldCharType="end"/>
            </w:r>
          </w:hyperlink>
        </w:p>
        <w:p w14:paraId="4188A13C" w14:textId="5D778060" w:rsidR="00B77B6F" w:rsidRDefault="00786046">
          <w:pPr>
            <w:pStyle w:val="TOC3"/>
            <w:tabs>
              <w:tab w:val="right" w:leader="dot" w:pos="9350"/>
            </w:tabs>
            <w:rPr>
              <w:rFonts w:eastAsiaTheme="minorEastAsia"/>
              <w:noProof/>
              <w:lang w:eastAsia="bg-BG"/>
            </w:rPr>
          </w:pPr>
          <w:hyperlink w:anchor="_Toc202730020" w:history="1">
            <w:r w:rsidR="00B77B6F" w:rsidRPr="00CC1920">
              <w:rPr>
                <w:rStyle w:val="Hyperlink"/>
                <w:rFonts w:ascii="Times New Roman" w:hAnsi="Times New Roman" w:cs="Times New Roman"/>
                <w:b/>
                <w:noProof/>
              </w:rPr>
              <w:t xml:space="preserve">6.3. Вероятност от значително въздействие на проекта на </w:t>
            </w:r>
            <w:r w:rsidR="005B5EB3">
              <w:rPr>
                <w:rStyle w:val="Hyperlink"/>
                <w:rFonts w:ascii="Times New Roman" w:hAnsi="Times New Roman" w:cs="Times New Roman"/>
                <w:b/>
                <w:noProof/>
              </w:rPr>
              <w:t>ИПЕК</w:t>
            </w:r>
            <w:r w:rsidR="00B77B6F" w:rsidRPr="00CC1920">
              <w:rPr>
                <w:rStyle w:val="Hyperlink"/>
                <w:rFonts w:ascii="Times New Roman" w:hAnsi="Times New Roman" w:cs="Times New Roman"/>
                <w:b/>
                <w:noProof/>
              </w:rPr>
              <w:t xml:space="preserve"> върху околната среда, в т.ч. човешкото здраве, на територията на други държави</w:t>
            </w:r>
            <w:r w:rsidR="00B77B6F">
              <w:rPr>
                <w:noProof/>
                <w:webHidden/>
              </w:rPr>
              <w:tab/>
            </w:r>
            <w:r w:rsidR="00B77B6F">
              <w:rPr>
                <w:noProof/>
                <w:webHidden/>
              </w:rPr>
              <w:fldChar w:fldCharType="begin"/>
            </w:r>
            <w:r w:rsidR="00B77B6F">
              <w:rPr>
                <w:noProof/>
                <w:webHidden/>
              </w:rPr>
              <w:instrText xml:space="preserve"> PAGEREF _Toc202730020 \h </w:instrText>
            </w:r>
            <w:r w:rsidR="00B77B6F">
              <w:rPr>
                <w:noProof/>
                <w:webHidden/>
              </w:rPr>
            </w:r>
            <w:r w:rsidR="00B77B6F">
              <w:rPr>
                <w:noProof/>
                <w:webHidden/>
              </w:rPr>
              <w:fldChar w:fldCharType="separate"/>
            </w:r>
            <w:r w:rsidR="00EF6505">
              <w:rPr>
                <w:noProof/>
                <w:webHidden/>
              </w:rPr>
              <w:t>158</w:t>
            </w:r>
            <w:r w:rsidR="00B77B6F">
              <w:rPr>
                <w:noProof/>
                <w:webHidden/>
              </w:rPr>
              <w:fldChar w:fldCharType="end"/>
            </w:r>
          </w:hyperlink>
        </w:p>
        <w:p w14:paraId="319E6426" w14:textId="6F41564E" w:rsidR="00B77B6F" w:rsidRDefault="00786046">
          <w:pPr>
            <w:pStyle w:val="TOC3"/>
            <w:tabs>
              <w:tab w:val="right" w:leader="dot" w:pos="9350"/>
            </w:tabs>
            <w:rPr>
              <w:rFonts w:eastAsiaTheme="minorEastAsia"/>
              <w:noProof/>
              <w:lang w:eastAsia="bg-BG"/>
            </w:rPr>
          </w:pPr>
          <w:hyperlink w:anchor="_Toc202730021" w:history="1">
            <w:r w:rsidR="00B77B6F" w:rsidRPr="00CC1920">
              <w:rPr>
                <w:rStyle w:val="Hyperlink"/>
                <w:rFonts w:ascii="Times New Roman" w:hAnsi="Times New Roman" w:cs="Times New Roman"/>
                <w:b/>
                <w:noProof/>
              </w:rPr>
              <w:t xml:space="preserve">6.4. Обобщения за въздействието на </w:t>
            </w:r>
            <w:r w:rsidR="005B5EB3">
              <w:rPr>
                <w:rStyle w:val="Hyperlink"/>
                <w:rFonts w:ascii="Times New Roman" w:hAnsi="Times New Roman" w:cs="Times New Roman"/>
                <w:b/>
                <w:noProof/>
              </w:rPr>
              <w:t>ИПЕК</w:t>
            </w:r>
            <w:r w:rsidR="00B77B6F" w:rsidRPr="00CC1920">
              <w:rPr>
                <w:rStyle w:val="Hyperlink"/>
                <w:rFonts w:ascii="Times New Roman" w:hAnsi="Times New Roman" w:cs="Times New Roman"/>
                <w:b/>
                <w:noProof/>
              </w:rPr>
              <w:t>.</w:t>
            </w:r>
            <w:r w:rsidR="00B77B6F">
              <w:rPr>
                <w:noProof/>
                <w:webHidden/>
              </w:rPr>
              <w:tab/>
            </w:r>
            <w:r w:rsidR="00B77B6F">
              <w:rPr>
                <w:noProof/>
                <w:webHidden/>
              </w:rPr>
              <w:fldChar w:fldCharType="begin"/>
            </w:r>
            <w:r w:rsidR="00B77B6F">
              <w:rPr>
                <w:noProof/>
                <w:webHidden/>
              </w:rPr>
              <w:instrText xml:space="preserve"> PAGEREF _Toc202730021 \h </w:instrText>
            </w:r>
            <w:r w:rsidR="00B77B6F">
              <w:rPr>
                <w:noProof/>
                <w:webHidden/>
              </w:rPr>
            </w:r>
            <w:r w:rsidR="00B77B6F">
              <w:rPr>
                <w:noProof/>
                <w:webHidden/>
              </w:rPr>
              <w:fldChar w:fldCharType="separate"/>
            </w:r>
            <w:r w:rsidR="00EF6505">
              <w:rPr>
                <w:noProof/>
                <w:webHidden/>
              </w:rPr>
              <w:t>160</w:t>
            </w:r>
            <w:r w:rsidR="00B77B6F">
              <w:rPr>
                <w:noProof/>
                <w:webHidden/>
              </w:rPr>
              <w:fldChar w:fldCharType="end"/>
            </w:r>
          </w:hyperlink>
        </w:p>
        <w:p w14:paraId="2474C81E" w14:textId="66F17DC7" w:rsidR="00B77B6F" w:rsidRDefault="00786046">
          <w:pPr>
            <w:pStyle w:val="TOC2"/>
            <w:tabs>
              <w:tab w:val="left" w:pos="660"/>
              <w:tab w:val="right" w:leader="dot" w:pos="9350"/>
            </w:tabs>
            <w:rPr>
              <w:rFonts w:eastAsiaTheme="minorEastAsia"/>
              <w:noProof/>
              <w:lang w:eastAsia="bg-BG"/>
            </w:rPr>
          </w:pPr>
          <w:hyperlink w:anchor="_Toc202730022" w:history="1">
            <w:r w:rsidR="00B77B6F" w:rsidRPr="00CC1920">
              <w:rPr>
                <w:rStyle w:val="Hyperlink"/>
                <w:rFonts w:ascii="Times New Roman" w:hAnsi="Times New Roman" w:cs="Times New Roman"/>
                <w:b/>
                <w:i/>
                <w:noProof/>
              </w:rPr>
              <w:t>7.</w:t>
            </w:r>
            <w:r w:rsidR="00B77B6F">
              <w:rPr>
                <w:rFonts w:eastAsiaTheme="minorEastAsia"/>
                <w:noProof/>
                <w:lang w:eastAsia="bg-BG"/>
              </w:rPr>
              <w:tab/>
            </w:r>
            <w:r w:rsidR="00B77B6F" w:rsidRPr="00CC1920">
              <w:rPr>
                <w:rStyle w:val="Hyperlink"/>
                <w:rFonts w:ascii="Times New Roman" w:hAnsi="Times New Roman" w:cs="Times New Roman"/>
                <w:b/>
                <w:i/>
                <w:noProof/>
              </w:rPr>
              <w:t xml:space="preserve">Мерки, предвидени за предотвратяване, намаляване и възможно най-пълно компенсиране на неблагоприятните последствия от осъществяването на </w:t>
            </w:r>
            <w:r w:rsidR="005B5EB3">
              <w:rPr>
                <w:rStyle w:val="Hyperlink"/>
                <w:rFonts w:ascii="Times New Roman" w:hAnsi="Times New Roman" w:cs="Times New Roman"/>
                <w:b/>
                <w:i/>
                <w:noProof/>
              </w:rPr>
              <w:t>ИПЕК</w:t>
            </w:r>
            <w:r w:rsidR="00B77B6F" w:rsidRPr="00CC1920">
              <w:rPr>
                <w:rStyle w:val="Hyperlink"/>
                <w:rFonts w:ascii="Times New Roman" w:hAnsi="Times New Roman" w:cs="Times New Roman"/>
                <w:b/>
                <w:i/>
                <w:noProof/>
              </w:rPr>
              <w:t xml:space="preserve"> върху околната среда и човешкото здраве</w:t>
            </w:r>
            <w:r w:rsidR="00B77B6F">
              <w:rPr>
                <w:noProof/>
                <w:webHidden/>
              </w:rPr>
              <w:tab/>
            </w:r>
            <w:r w:rsidR="00B77B6F">
              <w:rPr>
                <w:noProof/>
                <w:webHidden/>
              </w:rPr>
              <w:fldChar w:fldCharType="begin"/>
            </w:r>
            <w:r w:rsidR="00B77B6F">
              <w:rPr>
                <w:noProof/>
                <w:webHidden/>
              </w:rPr>
              <w:instrText xml:space="preserve"> PAGEREF _Toc202730022 \h </w:instrText>
            </w:r>
            <w:r w:rsidR="00B77B6F">
              <w:rPr>
                <w:noProof/>
                <w:webHidden/>
              </w:rPr>
            </w:r>
            <w:r w:rsidR="00B77B6F">
              <w:rPr>
                <w:noProof/>
                <w:webHidden/>
              </w:rPr>
              <w:fldChar w:fldCharType="separate"/>
            </w:r>
            <w:r w:rsidR="00EF6505">
              <w:rPr>
                <w:noProof/>
                <w:webHidden/>
              </w:rPr>
              <w:t>160</w:t>
            </w:r>
            <w:r w:rsidR="00B77B6F">
              <w:rPr>
                <w:noProof/>
                <w:webHidden/>
              </w:rPr>
              <w:fldChar w:fldCharType="end"/>
            </w:r>
          </w:hyperlink>
        </w:p>
        <w:p w14:paraId="2F2DF739" w14:textId="775A0B3C" w:rsidR="00B77B6F" w:rsidRDefault="00786046">
          <w:pPr>
            <w:pStyle w:val="TOC2"/>
            <w:tabs>
              <w:tab w:val="left" w:pos="660"/>
              <w:tab w:val="right" w:leader="dot" w:pos="9350"/>
            </w:tabs>
            <w:rPr>
              <w:rFonts w:eastAsiaTheme="minorEastAsia"/>
              <w:noProof/>
              <w:lang w:eastAsia="bg-BG"/>
            </w:rPr>
          </w:pPr>
          <w:hyperlink w:anchor="_Toc202730023" w:history="1">
            <w:r w:rsidR="00B77B6F" w:rsidRPr="00CC1920">
              <w:rPr>
                <w:rStyle w:val="Hyperlink"/>
                <w:rFonts w:ascii="Times New Roman" w:hAnsi="Times New Roman" w:cs="Times New Roman"/>
                <w:b/>
                <w:i/>
                <w:noProof/>
              </w:rPr>
              <w:t>8.</w:t>
            </w:r>
            <w:r w:rsidR="00B77B6F">
              <w:rPr>
                <w:rFonts w:eastAsiaTheme="minorEastAsia"/>
                <w:noProof/>
                <w:lang w:eastAsia="bg-BG"/>
              </w:rPr>
              <w:tab/>
            </w:r>
            <w:r w:rsidR="00B77B6F" w:rsidRPr="00CC1920">
              <w:rPr>
                <w:rStyle w:val="Hyperlink"/>
                <w:rFonts w:ascii="Times New Roman" w:hAnsi="Times New Roman" w:cs="Times New Roman"/>
                <w:b/>
                <w:i/>
                <w:noProof/>
              </w:rPr>
              <w:t>Мотиви за избор на разгледаните алтернативи</w:t>
            </w:r>
            <w:r w:rsidR="00B77B6F">
              <w:rPr>
                <w:noProof/>
                <w:webHidden/>
              </w:rPr>
              <w:tab/>
            </w:r>
            <w:r w:rsidR="00B77B6F">
              <w:rPr>
                <w:noProof/>
                <w:webHidden/>
              </w:rPr>
              <w:fldChar w:fldCharType="begin"/>
            </w:r>
            <w:r w:rsidR="00B77B6F">
              <w:rPr>
                <w:noProof/>
                <w:webHidden/>
              </w:rPr>
              <w:instrText xml:space="preserve"> PAGEREF _Toc202730023 \h </w:instrText>
            </w:r>
            <w:r w:rsidR="00B77B6F">
              <w:rPr>
                <w:noProof/>
                <w:webHidden/>
              </w:rPr>
            </w:r>
            <w:r w:rsidR="00B77B6F">
              <w:rPr>
                <w:noProof/>
                <w:webHidden/>
              </w:rPr>
              <w:fldChar w:fldCharType="separate"/>
            </w:r>
            <w:r w:rsidR="00EF6505">
              <w:rPr>
                <w:noProof/>
                <w:webHidden/>
              </w:rPr>
              <w:t>160</w:t>
            </w:r>
            <w:r w:rsidR="00B77B6F">
              <w:rPr>
                <w:noProof/>
                <w:webHidden/>
              </w:rPr>
              <w:fldChar w:fldCharType="end"/>
            </w:r>
          </w:hyperlink>
        </w:p>
        <w:p w14:paraId="117214C2" w14:textId="7723387A" w:rsidR="00B77B6F" w:rsidRDefault="00786046">
          <w:pPr>
            <w:pStyle w:val="TOC2"/>
            <w:tabs>
              <w:tab w:val="left" w:pos="660"/>
              <w:tab w:val="right" w:leader="dot" w:pos="9350"/>
            </w:tabs>
            <w:rPr>
              <w:rFonts w:eastAsiaTheme="minorEastAsia"/>
              <w:noProof/>
              <w:lang w:eastAsia="bg-BG"/>
            </w:rPr>
          </w:pPr>
          <w:hyperlink w:anchor="_Toc202730024" w:history="1">
            <w:r w:rsidR="00B77B6F" w:rsidRPr="00CC1920">
              <w:rPr>
                <w:rStyle w:val="Hyperlink"/>
                <w:rFonts w:ascii="Times New Roman" w:hAnsi="Times New Roman" w:cs="Times New Roman"/>
                <w:b/>
                <w:i/>
                <w:noProof/>
              </w:rPr>
              <w:t>9.</w:t>
            </w:r>
            <w:r w:rsidR="00B77B6F">
              <w:rPr>
                <w:rFonts w:eastAsiaTheme="minorEastAsia"/>
                <w:noProof/>
                <w:lang w:eastAsia="bg-BG"/>
              </w:rPr>
              <w:tab/>
            </w:r>
            <w:r w:rsidR="00B77B6F" w:rsidRPr="00CC1920">
              <w:rPr>
                <w:rStyle w:val="Hyperlink"/>
                <w:rFonts w:ascii="Times New Roman" w:hAnsi="Times New Roman" w:cs="Times New Roman"/>
                <w:b/>
                <w:i/>
                <w:noProof/>
              </w:rPr>
              <w:t>Методи за извършване на екологичната оценка, използвана нормативна база и документи и трудности при събиране на необходимата за това информация</w:t>
            </w:r>
            <w:r w:rsidR="00B77B6F">
              <w:rPr>
                <w:noProof/>
                <w:webHidden/>
              </w:rPr>
              <w:tab/>
            </w:r>
            <w:r w:rsidR="00B77B6F">
              <w:rPr>
                <w:noProof/>
                <w:webHidden/>
              </w:rPr>
              <w:fldChar w:fldCharType="begin"/>
            </w:r>
            <w:r w:rsidR="00B77B6F">
              <w:rPr>
                <w:noProof/>
                <w:webHidden/>
              </w:rPr>
              <w:instrText xml:space="preserve"> PAGEREF _Toc202730024 \h </w:instrText>
            </w:r>
            <w:r w:rsidR="00B77B6F">
              <w:rPr>
                <w:noProof/>
                <w:webHidden/>
              </w:rPr>
            </w:r>
            <w:r w:rsidR="00B77B6F">
              <w:rPr>
                <w:noProof/>
                <w:webHidden/>
              </w:rPr>
              <w:fldChar w:fldCharType="separate"/>
            </w:r>
            <w:r w:rsidR="00EF6505">
              <w:rPr>
                <w:noProof/>
                <w:webHidden/>
              </w:rPr>
              <w:t>161</w:t>
            </w:r>
            <w:r w:rsidR="00B77B6F">
              <w:rPr>
                <w:noProof/>
                <w:webHidden/>
              </w:rPr>
              <w:fldChar w:fldCharType="end"/>
            </w:r>
          </w:hyperlink>
        </w:p>
        <w:p w14:paraId="60932227" w14:textId="4E0DB617" w:rsidR="00B77B6F" w:rsidRDefault="00786046">
          <w:pPr>
            <w:pStyle w:val="TOC2"/>
            <w:tabs>
              <w:tab w:val="left" w:pos="880"/>
              <w:tab w:val="right" w:leader="dot" w:pos="9350"/>
            </w:tabs>
            <w:rPr>
              <w:rFonts w:eastAsiaTheme="minorEastAsia"/>
              <w:noProof/>
              <w:lang w:eastAsia="bg-BG"/>
            </w:rPr>
          </w:pPr>
          <w:hyperlink w:anchor="_Toc202730025" w:history="1">
            <w:r w:rsidR="00B77B6F" w:rsidRPr="00CC1920">
              <w:rPr>
                <w:rStyle w:val="Hyperlink"/>
                <w:rFonts w:ascii="Times New Roman" w:hAnsi="Times New Roman" w:cs="Times New Roman"/>
                <w:b/>
                <w:i/>
                <w:noProof/>
              </w:rPr>
              <w:t>10.</w:t>
            </w:r>
            <w:r w:rsidR="00B77B6F">
              <w:rPr>
                <w:rFonts w:eastAsiaTheme="minorEastAsia"/>
                <w:noProof/>
                <w:lang w:eastAsia="bg-BG"/>
              </w:rPr>
              <w:tab/>
            </w:r>
            <w:r w:rsidR="00B77B6F" w:rsidRPr="00CC1920">
              <w:rPr>
                <w:rStyle w:val="Hyperlink"/>
                <w:rFonts w:ascii="Times New Roman" w:hAnsi="Times New Roman" w:cs="Times New Roman"/>
                <w:b/>
                <w:i/>
                <w:noProof/>
              </w:rPr>
              <w:t xml:space="preserve">Мерки във връзка с наблюдението по време на прилагането на </w:t>
            </w:r>
            <w:r w:rsidR="005B5EB3">
              <w:rPr>
                <w:rStyle w:val="Hyperlink"/>
                <w:rFonts w:ascii="Times New Roman" w:hAnsi="Times New Roman" w:cs="Times New Roman"/>
                <w:b/>
                <w:i/>
                <w:noProof/>
              </w:rPr>
              <w:t>ИПЕК</w:t>
            </w:r>
            <w:r w:rsidR="00B77B6F">
              <w:rPr>
                <w:noProof/>
                <w:webHidden/>
              </w:rPr>
              <w:tab/>
            </w:r>
            <w:r w:rsidR="00B77B6F">
              <w:rPr>
                <w:noProof/>
                <w:webHidden/>
              </w:rPr>
              <w:fldChar w:fldCharType="begin"/>
            </w:r>
            <w:r w:rsidR="00B77B6F">
              <w:rPr>
                <w:noProof/>
                <w:webHidden/>
              </w:rPr>
              <w:instrText xml:space="preserve"> PAGEREF _Toc202730025 \h </w:instrText>
            </w:r>
            <w:r w:rsidR="00B77B6F">
              <w:rPr>
                <w:noProof/>
                <w:webHidden/>
              </w:rPr>
            </w:r>
            <w:r w:rsidR="00B77B6F">
              <w:rPr>
                <w:noProof/>
                <w:webHidden/>
              </w:rPr>
              <w:fldChar w:fldCharType="separate"/>
            </w:r>
            <w:r w:rsidR="00EF6505">
              <w:rPr>
                <w:noProof/>
                <w:webHidden/>
              </w:rPr>
              <w:t>163</w:t>
            </w:r>
            <w:r w:rsidR="00B77B6F">
              <w:rPr>
                <w:noProof/>
                <w:webHidden/>
              </w:rPr>
              <w:fldChar w:fldCharType="end"/>
            </w:r>
          </w:hyperlink>
        </w:p>
        <w:p w14:paraId="07921D8B" w14:textId="6BB74902" w:rsidR="00B77B6F" w:rsidRDefault="00786046">
          <w:pPr>
            <w:pStyle w:val="TOC2"/>
            <w:tabs>
              <w:tab w:val="left" w:pos="880"/>
              <w:tab w:val="right" w:leader="dot" w:pos="9350"/>
            </w:tabs>
            <w:rPr>
              <w:rFonts w:eastAsiaTheme="minorEastAsia"/>
              <w:noProof/>
              <w:lang w:eastAsia="bg-BG"/>
            </w:rPr>
          </w:pPr>
          <w:hyperlink w:anchor="_Toc202730026" w:history="1">
            <w:r w:rsidR="00B77B6F" w:rsidRPr="00CC1920">
              <w:rPr>
                <w:rStyle w:val="Hyperlink"/>
                <w:rFonts w:ascii="Times New Roman" w:hAnsi="Times New Roman" w:cs="Times New Roman"/>
                <w:b/>
                <w:i/>
                <w:noProof/>
              </w:rPr>
              <w:t>11.</w:t>
            </w:r>
            <w:r w:rsidR="00B77B6F">
              <w:rPr>
                <w:rFonts w:eastAsiaTheme="minorEastAsia"/>
                <w:noProof/>
                <w:lang w:eastAsia="bg-BG"/>
              </w:rPr>
              <w:tab/>
            </w:r>
            <w:r w:rsidR="00B77B6F" w:rsidRPr="00CC1920">
              <w:rPr>
                <w:rStyle w:val="Hyperlink"/>
                <w:rFonts w:ascii="Times New Roman" w:hAnsi="Times New Roman" w:cs="Times New Roman"/>
                <w:b/>
                <w:i/>
                <w:noProof/>
              </w:rPr>
              <w:t>Заключение на екологичната оценка</w:t>
            </w:r>
            <w:r w:rsidR="00B77B6F">
              <w:rPr>
                <w:noProof/>
                <w:webHidden/>
              </w:rPr>
              <w:tab/>
            </w:r>
            <w:r w:rsidR="00B77B6F">
              <w:rPr>
                <w:noProof/>
                <w:webHidden/>
              </w:rPr>
              <w:fldChar w:fldCharType="begin"/>
            </w:r>
            <w:r w:rsidR="00B77B6F">
              <w:rPr>
                <w:noProof/>
                <w:webHidden/>
              </w:rPr>
              <w:instrText xml:space="preserve"> PAGEREF _Toc202730026 \h </w:instrText>
            </w:r>
            <w:r w:rsidR="00B77B6F">
              <w:rPr>
                <w:noProof/>
                <w:webHidden/>
              </w:rPr>
            </w:r>
            <w:r w:rsidR="00B77B6F">
              <w:rPr>
                <w:noProof/>
                <w:webHidden/>
              </w:rPr>
              <w:fldChar w:fldCharType="separate"/>
            </w:r>
            <w:r w:rsidR="00EF6505">
              <w:rPr>
                <w:noProof/>
                <w:webHidden/>
              </w:rPr>
              <w:t>163</w:t>
            </w:r>
            <w:r w:rsidR="00B77B6F">
              <w:rPr>
                <w:noProof/>
                <w:webHidden/>
              </w:rPr>
              <w:fldChar w:fldCharType="end"/>
            </w:r>
          </w:hyperlink>
        </w:p>
        <w:p w14:paraId="0B841C24" w14:textId="42AE5B1A" w:rsidR="00B77B6F" w:rsidRDefault="00786046">
          <w:pPr>
            <w:pStyle w:val="TOC2"/>
            <w:tabs>
              <w:tab w:val="left" w:pos="880"/>
              <w:tab w:val="right" w:leader="dot" w:pos="9350"/>
            </w:tabs>
            <w:rPr>
              <w:rFonts w:eastAsiaTheme="minorEastAsia"/>
              <w:noProof/>
              <w:lang w:eastAsia="bg-BG"/>
            </w:rPr>
          </w:pPr>
          <w:hyperlink w:anchor="_Toc202730027" w:history="1">
            <w:r w:rsidR="00B77B6F" w:rsidRPr="00CC1920">
              <w:rPr>
                <w:rStyle w:val="Hyperlink"/>
                <w:rFonts w:ascii="Times New Roman" w:hAnsi="Times New Roman" w:cs="Times New Roman"/>
                <w:b/>
                <w:i/>
                <w:noProof/>
              </w:rPr>
              <w:t>12.</w:t>
            </w:r>
            <w:r w:rsidR="00B77B6F">
              <w:rPr>
                <w:rFonts w:eastAsiaTheme="minorEastAsia"/>
                <w:noProof/>
                <w:lang w:eastAsia="bg-BG"/>
              </w:rPr>
              <w:tab/>
            </w:r>
            <w:r w:rsidR="00B77B6F" w:rsidRPr="00CC1920">
              <w:rPr>
                <w:rStyle w:val="Hyperlink"/>
                <w:rFonts w:ascii="Times New Roman" w:hAnsi="Times New Roman" w:cs="Times New Roman"/>
                <w:b/>
                <w:i/>
                <w:noProof/>
              </w:rPr>
              <w:t xml:space="preserve">Справка за резултатите от проведените консултации в процеса на изготвяне на </w:t>
            </w:r>
            <w:r w:rsidR="005B5EB3">
              <w:rPr>
                <w:rStyle w:val="Hyperlink"/>
                <w:rFonts w:ascii="Times New Roman" w:hAnsi="Times New Roman" w:cs="Times New Roman"/>
                <w:b/>
                <w:i/>
                <w:noProof/>
              </w:rPr>
              <w:t>ИПЕК</w:t>
            </w:r>
            <w:r w:rsidR="00B77B6F" w:rsidRPr="00CC1920">
              <w:rPr>
                <w:rStyle w:val="Hyperlink"/>
                <w:rFonts w:ascii="Times New Roman" w:hAnsi="Times New Roman" w:cs="Times New Roman"/>
                <w:b/>
                <w:i/>
                <w:noProof/>
              </w:rPr>
              <w:t xml:space="preserve"> и извършване на екологичната оценка</w:t>
            </w:r>
            <w:r w:rsidR="00B77B6F">
              <w:rPr>
                <w:noProof/>
                <w:webHidden/>
              </w:rPr>
              <w:tab/>
            </w:r>
            <w:r w:rsidR="00B77B6F">
              <w:rPr>
                <w:noProof/>
                <w:webHidden/>
              </w:rPr>
              <w:fldChar w:fldCharType="begin"/>
            </w:r>
            <w:r w:rsidR="00B77B6F">
              <w:rPr>
                <w:noProof/>
                <w:webHidden/>
              </w:rPr>
              <w:instrText xml:space="preserve"> PAGEREF _Toc202730027 \h </w:instrText>
            </w:r>
            <w:r w:rsidR="00B77B6F">
              <w:rPr>
                <w:noProof/>
                <w:webHidden/>
              </w:rPr>
            </w:r>
            <w:r w:rsidR="00B77B6F">
              <w:rPr>
                <w:noProof/>
                <w:webHidden/>
              </w:rPr>
              <w:fldChar w:fldCharType="separate"/>
            </w:r>
            <w:r w:rsidR="00EF6505">
              <w:rPr>
                <w:noProof/>
                <w:webHidden/>
              </w:rPr>
              <w:t>163</w:t>
            </w:r>
            <w:r w:rsidR="00B77B6F">
              <w:rPr>
                <w:noProof/>
                <w:webHidden/>
              </w:rPr>
              <w:fldChar w:fldCharType="end"/>
            </w:r>
          </w:hyperlink>
        </w:p>
        <w:p w14:paraId="66383EDB" w14:textId="3A6FEEAD" w:rsidR="00B77B6F" w:rsidRDefault="00786046">
          <w:pPr>
            <w:pStyle w:val="TOC2"/>
            <w:tabs>
              <w:tab w:val="left" w:pos="880"/>
              <w:tab w:val="right" w:leader="dot" w:pos="9350"/>
            </w:tabs>
            <w:rPr>
              <w:rFonts w:eastAsiaTheme="minorEastAsia"/>
              <w:noProof/>
              <w:lang w:eastAsia="bg-BG"/>
            </w:rPr>
          </w:pPr>
          <w:hyperlink w:anchor="_Toc202730028" w:history="1">
            <w:r w:rsidR="00B77B6F" w:rsidRPr="00CC1920">
              <w:rPr>
                <w:rStyle w:val="Hyperlink"/>
                <w:rFonts w:ascii="Times New Roman" w:hAnsi="Times New Roman" w:cs="Times New Roman"/>
                <w:b/>
                <w:i/>
                <w:noProof/>
              </w:rPr>
              <w:t>13.</w:t>
            </w:r>
            <w:r w:rsidR="00B77B6F">
              <w:rPr>
                <w:rFonts w:eastAsiaTheme="minorEastAsia"/>
                <w:noProof/>
                <w:lang w:eastAsia="bg-BG"/>
              </w:rPr>
              <w:tab/>
            </w:r>
            <w:r w:rsidR="00B77B6F" w:rsidRPr="00CC1920">
              <w:rPr>
                <w:rStyle w:val="Hyperlink"/>
                <w:rFonts w:ascii="Times New Roman" w:hAnsi="Times New Roman" w:cs="Times New Roman"/>
                <w:b/>
                <w:i/>
                <w:noProof/>
              </w:rPr>
              <w:t>Нетехническо резюме на екологичната оценка</w:t>
            </w:r>
            <w:r w:rsidR="00B77B6F">
              <w:rPr>
                <w:noProof/>
                <w:webHidden/>
              </w:rPr>
              <w:tab/>
            </w:r>
            <w:r w:rsidR="00B77B6F">
              <w:rPr>
                <w:noProof/>
                <w:webHidden/>
              </w:rPr>
              <w:fldChar w:fldCharType="begin"/>
            </w:r>
            <w:r w:rsidR="00B77B6F">
              <w:rPr>
                <w:noProof/>
                <w:webHidden/>
              </w:rPr>
              <w:instrText xml:space="preserve"> PAGEREF _Toc202730028 \h </w:instrText>
            </w:r>
            <w:r w:rsidR="00B77B6F">
              <w:rPr>
                <w:noProof/>
                <w:webHidden/>
              </w:rPr>
            </w:r>
            <w:r w:rsidR="00B77B6F">
              <w:rPr>
                <w:noProof/>
                <w:webHidden/>
              </w:rPr>
              <w:fldChar w:fldCharType="separate"/>
            </w:r>
            <w:r w:rsidR="00EF6505">
              <w:rPr>
                <w:noProof/>
                <w:webHidden/>
              </w:rPr>
              <w:t>163</w:t>
            </w:r>
            <w:r w:rsidR="00B77B6F">
              <w:rPr>
                <w:noProof/>
                <w:webHidden/>
              </w:rPr>
              <w:fldChar w:fldCharType="end"/>
            </w:r>
          </w:hyperlink>
        </w:p>
        <w:p w14:paraId="16D05717" w14:textId="0960C903" w:rsidR="00B77B6F" w:rsidRDefault="00786046">
          <w:pPr>
            <w:pStyle w:val="TOC2"/>
            <w:tabs>
              <w:tab w:val="left" w:pos="880"/>
              <w:tab w:val="right" w:leader="dot" w:pos="9350"/>
            </w:tabs>
            <w:rPr>
              <w:rFonts w:eastAsiaTheme="minorEastAsia"/>
              <w:noProof/>
              <w:lang w:eastAsia="bg-BG"/>
            </w:rPr>
          </w:pPr>
          <w:hyperlink w:anchor="_Toc202730029" w:history="1">
            <w:r w:rsidR="00B77B6F" w:rsidRPr="00CC1920">
              <w:rPr>
                <w:rStyle w:val="Hyperlink"/>
                <w:rFonts w:ascii="Times New Roman" w:hAnsi="Times New Roman" w:cs="Times New Roman"/>
                <w:b/>
                <w:i/>
                <w:noProof/>
              </w:rPr>
              <w:t>14.</w:t>
            </w:r>
            <w:r w:rsidR="00B77B6F">
              <w:rPr>
                <w:rFonts w:eastAsiaTheme="minorEastAsia"/>
                <w:noProof/>
                <w:lang w:eastAsia="bg-BG"/>
              </w:rPr>
              <w:tab/>
            </w:r>
            <w:r w:rsidR="00B77B6F" w:rsidRPr="00CC1920">
              <w:rPr>
                <w:rStyle w:val="Hyperlink"/>
                <w:rFonts w:ascii="Times New Roman" w:hAnsi="Times New Roman" w:cs="Times New Roman"/>
                <w:b/>
                <w:i/>
                <w:noProof/>
              </w:rPr>
              <w:t>Приложения към доклада за екологична оценка</w:t>
            </w:r>
            <w:r w:rsidR="00B77B6F">
              <w:rPr>
                <w:noProof/>
                <w:webHidden/>
              </w:rPr>
              <w:tab/>
            </w:r>
            <w:r w:rsidR="00B77B6F">
              <w:rPr>
                <w:noProof/>
                <w:webHidden/>
              </w:rPr>
              <w:fldChar w:fldCharType="begin"/>
            </w:r>
            <w:r w:rsidR="00B77B6F">
              <w:rPr>
                <w:noProof/>
                <w:webHidden/>
              </w:rPr>
              <w:instrText xml:space="preserve"> PAGEREF _Toc202730029 \h </w:instrText>
            </w:r>
            <w:r w:rsidR="00B77B6F">
              <w:rPr>
                <w:noProof/>
                <w:webHidden/>
              </w:rPr>
            </w:r>
            <w:r w:rsidR="00B77B6F">
              <w:rPr>
                <w:noProof/>
                <w:webHidden/>
              </w:rPr>
              <w:fldChar w:fldCharType="separate"/>
            </w:r>
            <w:r w:rsidR="00EF6505">
              <w:rPr>
                <w:noProof/>
                <w:webHidden/>
              </w:rPr>
              <w:t>164</w:t>
            </w:r>
            <w:r w:rsidR="00B77B6F">
              <w:rPr>
                <w:noProof/>
                <w:webHidden/>
              </w:rPr>
              <w:fldChar w:fldCharType="end"/>
            </w:r>
          </w:hyperlink>
        </w:p>
        <w:p w14:paraId="51A9C6AD" w14:textId="77777777" w:rsidR="00A548F3" w:rsidRPr="00CB36D4" w:rsidRDefault="00912AD4" w:rsidP="00A548F3">
          <w:pPr>
            <w:spacing w:after="0" w:line="360" w:lineRule="auto"/>
            <w:rPr>
              <w:rFonts w:ascii="Times New Roman" w:hAnsi="Times New Roman" w:cs="Times New Roman"/>
              <w:highlight w:val="yellow"/>
            </w:rPr>
          </w:pPr>
          <w:r w:rsidRPr="00CB36D4">
            <w:rPr>
              <w:rFonts w:ascii="Times New Roman" w:hAnsi="Times New Roman" w:cs="Times New Roman"/>
              <w:b/>
              <w:bCs/>
              <w:highlight w:val="yellow"/>
            </w:rPr>
            <w:fldChar w:fldCharType="end"/>
          </w:r>
        </w:p>
      </w:sdtContent>
    </w:sdt>
    <w:p w14:paraId="7937B2F6" w14:textId="77777777" w:rsidR="00A548F3" w:rsidRPr="00CB36D4" w:rsidRDefault="00A548F3">
      <w:pPr>
        <w:rPr>
          <w:rFonts w:ascii="Times New Roman" w:hAnsi="Times New Roman" w:cs="Times New Roman"/>
          <w:b/>
          <w:sz w:val="24"/>
          <w:szCs w:val="24"/>
          <w:highlight w:val="yellow"/>
        </w:rPr>
      </w:pPr>
      <w:r w:rsidRPr="00CB36D4">
        <w:rPr>
          <w:rFonts w:ascii="Times New Roman" w:hAnsi="Times New Roman" w:cs="Times New Roman"/>
          <w:b/>
          <w:sz w:val="24"/>
          <w:szCs w:val="24"/>
          <w:highlight w:val="yellow"/>
        </w:rPr>
        <w:br w:type="page"/>
      </w:r>
    </w:p>
    <w:p w14:paraId="68D97895" w14:textId="77777777" w:rsidR="00AE0B66" w:rsidRPr="00B3374B" w:rsidRDefault="00AE0B66" w:rsidP="00AE0B66">
      <w:pPr>
        <w:spacing w:after="0" w:line="240" w:lineRule="auto"/>
        <w:jc w:val="center"/>
        <w:rPr>
          <w:rFonts w:ascii="Times New Roman" w:hAnsi="Times New Roman" w:cs="Times New Roman"/>
          <w:b/>
          <w:sz w:val="24"/>
          <w:szCs w:val="24"/>
        </w:rPr>
      </w:pPr>
      <w:r w:rsidRPr="00B3374B">
        <w:rPr>
          <w:rFonts w:ascii="Times New Roman" w:hAnsi="Times New Roman" w:cs="Times New Roman"/>
          <w:b/>
          <w:sz w:val="24"/>
          <w:szCs w:val="24"/>
        </w:rPr>
        <w:lastRenderedPageBreak/>
        <w:t>СПИСЪК НА СЪКРАЩЕНИЯТА</w:t>
      </w:r>
    </w:p>
    <w:p w14:paraId="79F3D7A6" w14:textId="77777777" w:rsidR="00AE0B66" w:rsidRPr="00B3374B" w:rsidRDefault="00AE0B66" w:rsidP="00AE0B66">
      <w:pPr>
        <w:spacing w:after="0" w:line="240" w:lineRule="auto"/>
        <w:jc w:val="center"/>
        <w:rPr>
          <w:rFonts w:ascii="Times New Roman" w:hAnsi="Times New Roman" w:cs="Times New Roman"/>
          <w:b/>
          <w:sz w:val="24"/>
          <w:szCs w:val="24"/>
        </w:rPr>
      </w:pPr>
    </w:p>
    <w:tbl>
      <w:tblPr>
        <w:tblStyle w:val="TableGrid"/>
        <w:tblW w:w="0" w:type="auto"/>
        <w:jc w:val="center"/>
        <w:tblLook w:val="04A0" w:firstRow="1" w:lastRow="0" w:firstColumn="1" w:lastColumn="0" w:noHBand="0" w:noVBand="1"/>
      </w:tblPr>
      <w:tblGrid>
        <w:gridCol w:w="1833"/>
        <w:gridCol w:w="7455"/>
      </w:tblGrid>
      <w:tr w:rsidR="00AE0B66" w:rsidRPr="00B3374B" w14:paraId="0061890B" w14:textId="77777777" w:rsidTr="00AE0B66">
        <w:trPr>
          <w:jc w:val="center"/>
        </w:trPr>
        <w:tc>
          <w:tcPr>
            <w:tcW w:w="1833" w:type="dxa"/>
            <w:vAlign w:val="center"/>
          </w:tcPr>
          <w:p w14:paraId="1AA4EE3F"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БДДР</w:t>
            </w:r>
          </w:p>
        </w:tc>
        <w:tc>
          <w:tcPr>
            <w:tcW w:w="7455" w:type="dxa"/>
            <w:vAlign w:val="center"/>
          </w:tcPr>
          <w:p w14:paraId="4454B2F0"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Басейнова дирекция „Дунавски район”, с център Плевен</w:t>
            </w:r>
          </w:p>
        </w:tc>
      </w:tr>
      <w:tr w:rsidR="00AE0B66" w:rsidRPr="00B3374B" w14:paraId="23B5BF0B" w14:textId="77777777" w:rsidTr="00AE0B66">
        <w:trPr>
          <w:jc w:val="center"/>
        </w:trPr>
        <w:tc>
          <w:tcPr>
            <w:tcW w:w="1833" w:type="dxa"/>
            <w:vAlign w:val="center"/>
          </w:tcPr>
          <w:p w14:paraId="38D31508"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БДЗБР</w:t>
            </w:r>
          </w:p>
        </w:tc>
        <w:tc>
          <w:tcPr>
            <w:tcW w:w="7455" w:type="dxa"/>
            <w:vAlign w:val="center"/>
          </w:tcPr>
          <w:p w14:paraId="14DAA9EE"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Басейнова дирекция „Западнобеломорски район“, с център Благоевград</w:t>
            </w:r>
          </w:p>
        </w:tc>
      </w:tr>
      <w:tr w:rsidR="00AE0B66" w:rsidRPr="00B3374B" w14:paraId="49553FBE" w14:textId="77777777" w:rsidTr="00AE0B66">
        <w:trPr>
          <w:jc w:val="center"/>
        </w:trPr>
        <w:tc>
          <w:tcPr>
            <w:tcW w:w="1833" w:type="dxa"/>
            <w:vAlign w:val="center"/>
          </w:tcPr>
          <w:p w14:paraId="0E6EC996" w14:textId="77777777" w:rsidR="00AE0B66" w:rsidRPr="00B3374B" w:rsidRDefault="00AE0B66" w:rsidP="00AE0B66">
            <w:pPr>
              <w:rPr>
                <w:rFonts w:ascii="Times New Roman" w:eastAsia="Times New Roman" w:hAnsi="Times New Roman" w:cs="Times New Roman"/>
                <w:b/>
                <w:sz w:val="24"/>
                <w:szCs w:val="24"/>
                <w:highlight w:val="yellow"/>
                <w:lang w:eastAsia="bg-BG"/>
              </w:rPr>
            </w:pPr>
            <w:r w:rsidRPr="00B3374B">
              <w:rPr>
                <w:rFonts w:ascii="Times New Roman" w:eastAsia="Times New Roman" w:hAnsi="Times New Roman" w:cs="Times New Roman"/>
                <w:b/>
                <w:sz w:val="24"/>
                <w:szCs w:val="24"/>
                <w:lang w:eastAsia="bg-BG"/>
              </w:rPr>
              <w:t>БДИБР</w:t>
            </w:r>
          </w:p>
        </w:tc>
        <w:tc>
          <w:tcPr>
            <w:tcW w:w="7455" w:type="dxa"/>
            <w:vAlign w:val="center"/>
          </w:tcPr>
          <w:p w14:paraId="4B3848FF" w14:textId="77777777" w:rsidR="00AE0B66" w:rsidRPr="00B3374B" w:rsidRDefault="00AE0B66" w:rsidP="00AE0B66">
            <w:pPr>
              <w:jc w:val="both"/>
              <w:rPr>
                <w:rFonts w:ascii="Times New Roman" w:eastAsia="Times New Roman" w:hAnsi="Times New Roman" w:cs="Times New Roman"/>
                <w:sz w:val="24"/>
                <w:szCs w:val="24"/>
                <w:highlight w:val="yellow"/>
                <w:lang w:eastAsia="bg-BG"/>
              </w:rPr>
            </w:pPr>
            <w:r w:rsidRPr="00B3374B">
              <w:rPr>
                <w:rFonts w:ascii="Times New Roman" w:eastAsia="Times New Roman" w:hAnsi="Times New Roman" w:cs="Times New Roman"/>
                <w:sz w:val="24"/>
                <w:szCs w:val="24"/>
                <w:lang w:eastAsia="bg-BG"/>
              </w:rPr>
              <w:t>Басейнова дирекция „Източнобеломорски район“, с център Пловдив</w:t>
            </w:r>
          </w:p>
        </w:tc>
      </w:tr>
      <w:tr w:rsidR="00AE0B66" w:rsidRPr="00B3374B" w14:paraId="5D6F09A6" w14:textId="77777777" w:rsidTr="00AE0B66">
        <w:trPr>
          <w:jc w:val="center"/>
        </w:trPr>
        <w:tc>
          <w:tcPr>
            <w:tcW w:w="1833" w:type="dxa"/>
            <w:vAlign w:val="center"/>
          </w:tcPr>
          <w:p w14:paraId="667B4572"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БДЧР</w:t>
            </w:r>
          </w:p>
        </w:tc>
        <w:tc>
          <w:tcPr>
            <w:tcW w:w="7455" w:type="dxa"/>
            <w:vAlign w:val="center"/>
          </w:tcPr>
          <w:p w14:paraId="2224160F"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Басейнова дирекция „Черноморски район“, с център Варна</w:t>
            </w:r>
          </w:p>
        </w:tc>
      </w:tr>
      <w:tr w:rsidR="00AE0B66" w:rsidRPr="00B3374B" w14:paraId="45477B24" w14:textId="77777777" w:rsidTr="00AE0B66">
        <w:trPr>
          <w:jc w:val="center"/>
        </w:trPr>
        <w:tc>
          <w:tcPr>
            <w:tcW w:w="1833" w:type="dxa"/>
            <w:tcBorders>
              <w:bottom w:val="single" w:sz="4" w:space="0" w:color="auto"/>
            </w:tcBorders>
            <w:vAlign w:val="center"/>
          </w:tcPr>
          <w:p w14:paraId="07D21B19"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hAnsi="Times New Roman" w:cs="Times New Roman"/>
                <w:b/>
                <w:color w:val="000000"/>
                <w:sz w:val="24"/>
                <w:szCs w:val="24"/>
              </w:rPr>
              <w:t>БНЕБ</w:t>
            </w:r>
          </w:p>
        </w:tc>
        <w:tc>
          <w:tcPr>
            <w:tcW w:w="7455" w:type="dxa"/>
            <w:tcBorders>
              <w:bottom w:val="single" w:sz="4" w:space="0" w:color="auto"/>
            </w:tcBorders>
            <w:vAlign w:val="center"/>
          </w:tcPr>
          <w:p w14:paraId="22662FE0"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Българска независима енергийна борса</w:t>
            </w:r>
          </w:p>
        </w:tc>
      </w:tr>
      <w:tr w:rsidR="00AE0B66" w:rsidRPr="00B3374B" w14:paraId="1F49D25D" w14:textId="77777777" w:rsidTr="00AE0B66">
        <w:trPr>
          <w:jc w:val="center"/>
        </w:trPr>
        <w:tc>
          <w:tcPr>
            <w:tcW w:w="1833" w:type="dxa"/>
            <w:tcBorders>
              <w:top w:val="single" w:sz="4" w:space="0" w:color="auto"/>
              <w:bottom w:val="single" w:sz="4" w:space="0" w:color="auto"/>
              <w:right w:val="single" w:sz="4" w:space="0" w:color="auto"/>
            </w:tcBorders>
            <w:vAlign w:val="center"/>
          </w:tcPr>
          <w:p w14:paraId="624BFAF4" w14:textId="77777777" w:rsidR="00AE0B66" w:rsidRPr="00B3374B" w:rsidRDefault="00AE0B66" w:rsidP="00AE0B66">
            <w:pPr>
              <w:rPr>
                <w:rFonts w:ascii="Times New Roman" w:eastAsia="Times New Roman" w:hAnsi="Times New Roman" w:cs="Times New Roman"/>
                <w:b/>
                <w:sz w:val="24"/>
                <w:szCs w:val="24"/>
                <w:lang w:val="en-US" w:eastAsia="bg-BG"/>
              </w:rPr>
            </w:pPr>
            <w:r w:rsidRPr="00B3374B">
              <w:rPr>
                <w:rFonts w:ascii="Times New Roman" w:eastAsia="Times New Roman" w:hAnsi="Times New Roman" w:cs="Times New Roman"/>
                <w:b/>
                <w:sz w:val="24"/>
                <w:szCs w:val="24"/>
                <w:lang w:val="en-US" w:eastAsia="bg-BG"/>
              </w:rPr>
              <w:t>БФП</w:t>
            </w:r>
          </w:p>
        </w:tc>
        <w:tc>
          <w:tcPr>
            <w:tcW w:w="7455" w:type="dxa"/>
            <w:tcBorders>
              <w:top w:val="single" w:sz="4" w:space="0" w:color="auto"/>
              <w:left w:val="single" w:sz="4" w:space="0" w:color="auto"/>
              <w:bottom w:val="single" w:sz="4" w:space="0" w:color="auto"/>
              <w:right w:val="single" w:sz="4" w:space="0" w:color="auto"/>
            </w:tcBorders>
            <w:vAlign w:val="center"/>
          </w:tcPr>
          <w:p w14:paraId="17E74B8B" w14:textId="77777777" w:rsidR="00AE0B66" w:rsidRPr="00B3374B" w:rsidRDefault="00AE0B66" w:rsidP="00AE0B66">
            <w:pPr>
              <w:pStyle w:val="Heading3"/>
              <w:pBdr>
                <w:bottom w:val="single" w:sz="4" w:space="0" w:color="555555"/>
              </w:pBdr>
              <w:shd w:val="clear" w:color="auto" w:fill="FFFFFF"/>
              <w:spacing w:before="0"/>
              <w:outlineLvl w:val="2"/>
              <w:rPr>
                <w:rFonts w:ascii="Times New Roman" w:eastAsia="Times New Roman" w:hAnsi="Times New Roman" w:cs="Times New Roman"/>
                <w:color w:val="auto"/>
                <w:lang w:val="en-US" w:eastAsia="bg-BG"/>
              </w:rPr>
            </w:pPr>
            <w:r w:rsidRPr="00B3374B">
              <w:rPr>
                <w:rFonts w:ascii="Times New Roman" w:eastAsia="Times New Roman" w:hAnsi="Times New Roman" w:cs="Times New Roman"/>
                <w:color w:val="auto"/>
                <w:lang w:eastAsia="bg-BG"/>
              </w:rPr>
              <w:t>Безвъзмездна финансова помощ</w:t>
            </w:r>
            <w:r w:rsidRPr="00B3374B">
              <w:rPr>
                <w:rFonts w:ascii="Times New Roman" w:eastAsia="Times New Roman" w:hAnsi="Times New Roman" w:cs="Times New Roman"/>
                <w:bCs/>
                <w:color w:val="auto"/>
                <w:lang w:eastAsia="bg-BG"/>
              </w:rPr>
              <w:t> </w:t>
            </w:r>
          </w:p>
        </w:tc>
      </w:tr>
      <w:tr w:rsidR="00AE0B66" w:rsidRPr="00B3374B" w14:paraId="369B455C" w14:textId="77777777" w:rsidTr="00AE0B66">
        <w:trPr>
          <w:jc w:val="center"/>
        </w:trPr>
        <w:tc>
          <w:tcPr>
            <w:tcW w:w="1833" w:type="dxa"/>
            <w:vAlign w:val="center"/>
          </w:tcPr>
          <w:p w14:paraId="6E17FC78"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ВЕИ</w:t>
            </w:r>
          </w:p>
        </w:tc>
        <w:tc>
          <w:tcPr>
            <w:tcW w:w="7455" w:type="dxa"/>
            <w:vAlign w:val="center"/>
          </w:tcPr>
          <w:p w14:paraId="293D7AC3"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Вятърни електроинсталации</w:t>
            </w:r>
          </w:p>
        </w:tc>
      </w:tr>
      <w:tr w:rsidR="00AE0B66" w:rsidRPr="00B3374B" w14:paraId="0EAD2E52" w14:textId="77777777" w:rsidTr="00AE0B66">
        <w:trPr>
          <w:jc w:val="center"/>
        </w:trPr>
        <w:tc>
          <w:tcPr>
            <w:tcW w:w="1833" w:type="dxa"/>
            <w:tcBorders>
              <w:bottom w:val="single" w:sz="4" w:space="0" w:color="auto"/>
            </w:tcBorders>
            <w:vAlign w:val="center"/>
          </w:tcPr>
          <w:p w14:paraId="7DC0AEF0"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ВЕЦ</w:t>
            </w:r>
          </w:p>
        </w:tc>
        <w:tc>
          <w:tcPr>
            <w:tcW w:w="7455" w:type="dxa"/>
            <w:tcBorders>
              <w:bottom w:val="single" w:sz="4" w:space="0" w:color="auto"/>
            </w:tcBorders>
            <w:vAlign w:val="center"/>
          </w:tcPr>
          <w:p w14:paraId="64042931"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Водно-електрическа централа</w:t>
            </w:r>
          </w:p>
        </w:tc>
      </w:tr>
      <w:tr w:rsidR="00AE0B66" w:rsidRPr="00B3374B" w14:paraId="449DCCE1" w14:textId="77777777" w:rsidTr="00AE0B66">
        <w:trPr>
          <w:jc w:val="center"/>
        </w:trPr>
        <w:tc>
          <w:tcPr>
            <w:tcW w:w="1833" w:type="dxa"/>
            <w:tcBorders>
              <w:top w:val="single" w:sz="4" w:space="0" w:color="auto"/>
            </w:tcBorders>
            <w:vAlign w:val="center"/>
          </w:tcPr>
          <w:p w14:paraId="24D6BA63"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 xml:space="preserve">ВИ </w:t>
            </w:r>
          </w:p>
        </w:tc>
        <w:tc>
          <w:tcPr>
            <w:tcW w:w="7455" w:type="dxa"/>
            <w:tcBorders>
              <w:top w:val="single" w:sz="4" w:space="0" w:color="auto"/>
            </w:tcBorders>
            <w:vAlign w:val="center"/>
          </w:tcPr>
          <w:p w14:paraId="5CB91D16"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Възобновяеми източници</w:t>
            </w:r>
          </w:p>
        </w:tc>
      </w:tr>
      <w:tr w:rsidR="00AE0B66" w:rsidRPr="00B3374B" w14:paraId="1DF0AF39" w14:textId="77777777" w:rsidTr="00AE0B66">
        <w:trPr>
          <w:jc w:val="center"/>
        </w:trPr>
        <w:tc>
          <w:tcPr>
            <w:tcW w:w="1833" w:type="dxa"/>
            <w:vAlign w:val="center"/>
          </w:tcPr>
          <w:p w14:paraId="74C99F30"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ВТ</w:t>
            </w:r>
          </w:p>
        </w:tc>
        <w:tc>
          <w:tcPr>
            <w:tcW w:w="7455" w:type="dxa"/>
            <w:vAlign w:val="center"/>
          </w:tcPr>
          <w:p w14:paraId="75ECF144"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Водни тела</w:t>
            </w:r>
          </w:p>
        </w:tc>
      </w:tr>
      <w:tr w:rsidR="00AE0B66" w:rsidRPr="00B3374B" w14:paraId="4E4F3347" w14:textId="77777777" w:rsidTr="00AE0B66">
        <w:trPr>
          <w:jc w:val="center"/>
        </w:trPr>
        <w:tc>
          <w:tcPr>
            <w:tcW w:w="1833" w:type="dxa"/>
            <w:vAlign w:val="center"/>
          </w:tcPr>
          <w:p w14:paraId="357ED860"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ДЕО</w:t>
            </w:r>
          </w:p>
        </w:tc>
        <w:tc>
          <w:tcPr>
            <w:tcW w:w="7455" w:type="dxa"/>
            <w:vAlign w:val="center"/>
          </w:tcPr>
          <w:p w14:paraId="5E3FBD54"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Доклад за екологична оценка</w:t>
            </w:r>
          </w:p>
        </w:tc>
      </w:tr>
      <w:tr w:rsidR="00952640" w:rsidRPr="00B3374B" w14:paraId="01E1A988" w14:textId="77777777" w:rsidTr="00AE0B66">
        <w:trPr>
          <w:jc w:val="center"/>
        </w:trPr>
        <w:tc>
          <w:tcPr>
            <w:tcW w:w="1833" w:type="dxa"/>
            <w:vAlign w:val="center"/>
          </w:tcPr>
          <w:p w14:paraId="402F4397" w14:textId="1247DDC1" w:rsidR="00952640" w:rsidRPr="00B3374B" w:rsidRDefault="00952640" w:rsidP="00AE0B66">
            <w:pPr>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ДОСВ</w:t>
            </w:r>
          </w:p>
        </w:tc>
        <w:tc>
          <w:tcPr>
            <w:tcW w:w="7455" w:type="dxa"/>
            <w:vAlign w:val="center"/>
          </w:tcPr>
          <w:p w14:paraId="7040D2BE" w14:textId="4D74E16C" w:rsidR="00952640" w:rsidRPr="00B3374B" w:rsidRDefault="00952640" w:rsidP="00AE0B66">
            <w:pPr>
              <w:jc w:val="both"/>
              <w:rPr>
                <w:rFonts w:ascii="Times New Roman" w:eastAsia="Times New Roman" w:hAnsi="Times New Roman" w:cs="Times New Roman"/>
                <w:sz w:val="24"/>
                <w:szCs w:val="24"/>
                <w:lang w:eastAsia="bg-BG"/>
              </w:rPr>
            </w:pPr>
            <w:r w:rsidRPr="00952640">
              <w:rPr>
                <w:rFonts w:ascii="Times New Roman" w:eastAsia="Times New Roman" w:hAnsi="Times New Roman" w:cs="Times New Roman"/>
                <w:sz w:val="24"/>
                <w:szCs w:val="24"/>
                <w:lang w:eastAsia="bg-BG"/>
              </w:rPr>
              <w:t>Доклад за оценка на степента на въздействие</w:t>
            </w:r>
          </w:p>
        </w:tc>
      </w:tr>
      <w:tr w:rsidR="00AE0B66" w:rsidRPr="00B3374B" w14:paraId="48AD3889" w14:textId="77777777" w:rsidTr="00AE0B66">
        <w:trPr>
          <w:jc w:val="center"/>
        </w:trPr>
        <w:tc>
          <w:tcPr>
            <w:tcW w:w="1833" w:type="dxa"/>
            <w:vAlign w:val="center"/>
          </w:tcPr>
          <w:p w14:paraId="4F6F1CFC"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ЕЕ</w:t>
            </w:r>
          </w:p>
        </w:tc>
        <w:tc>
          <w:tcPr>
            <w:tcW w:w="7455" w:type="dxa"/>
            <w:vAlign w:val="center"/>
          </w:tcPr>
          <w:p w14:paraId="74B7C27D"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Енергийна ефективност</w:t>
            </w:r>
          </w:p>
        </w:tc>
      </w:tr>
      <w:tr w:rsidR="00AE0B66" w:rsidRPr="00B3374B" w14:paraId="7D05FB5A" w14:textId="77777777" w:rsidTr="00AE0B66">
        <w:trPr>
          <w:jc w:val="center"/>
        </w:trPr>
        <w:tc>
          <w:tcPr>
            <w:tcW w:w="1833" w:type="dxa"/>
            <w:vAlign w:val="center"/>
          </w:tcPr>
          <w:p w14:paraId="385EB4D0"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ЕЕС</w:t>
            </w:r>
          </w:p>
        </w:tc>
        <w:tc>
          <w:tcPr>
            <w:tcW w:w="7455" w:type="dxa"/>
            <w:vAlign w:val="center"/>
          </w:tcPr>
          <w:p w14:paraId="244B6F9F"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Електропреносна система</w:t>
            </w:r>
          </w:p>
        </w:tc>
      </w:tr>
      <w:tr w:rsidR="00AE0B66" w:rsidRPr="00B3374B" w14:paraId="47D3A06A" w14:textId="77777777" w:rsidTr="00AE0B66">
        <w:trPr>
          <w:jc w:val="center"/>
        </w:trPr>
        <w:tc>
          <w:tcPr>
            <w:tcW w:w="1833" w:type="dxa"/>
            <w:vAlign w:val="center"/>
          </w:tcPr>
          <w:p w14:paraId="6988AEAB" w14:textId="77777777" w:rsidR="00AE0B66" w:rsidRPr="00B3374B" w:rsidRDefault="00AE0B66" w:rsidP="00AE0B66">
            <w:pPr>
              <w:rPr>
                <w:rFonts w:ascii="Times New Roman" w:hAnsi="Times New Roman" w:cs="Times New Roman"/>
                <w:b/>
                <w:color w:val="000000"/>
                <w:sz w:val="24"/>
                <w:szCs w:val="24"/>
                <w:lang w:val="en-US"/>
              </w:rPr>
            </w:pPr>
            <w:r w:rsidRPr="00B3374B">
              <w:rPr>
                <w:rFonts w:ascii="Times New Roman" w:hAnsi="Times New Roman" w:cs="Times New Roman"/>
                <w:b/>
                <w:color w:val="000000"/>
                <w:sz w:val="24"/>
                <w:szCs w:val="24"/>
                <w:lang w:val="en-US"/>
              </w:rPr>
              <w:t>ЕИП</w:t>
            </w:r>
          </w:p>
        </w:tc>
        <w:tc>
          <w:tcPr>
            <w:tcW w:w="7455" w:type="dxa"/>
            <w:vAlign w:val="center"/>
          </w:tcPr>
          <w:p w14:paraId="3BA1C371" w14:textId="77777777" w:rsidR="00AE0B66" w:rsidRPr="00B3374B" w:rsidRDefault="00AE0B66" w:rsidP="00AE0B66">
            <w:pPr>
              <w:jc w:val="both"/>
              <w:rPr>
                <w:rFonts w:ascii="Times New Roman" w:hAnsi="Times New Roman" w:cs="Times New Roman"/>
                <w:color w:val="000000"/>
                <w:sz w:val="24"/>
                <w:szCs w:val="24"/>
              </w:rPr>
            </w:pPr>
            <w:r w:rsidRPr="00B3374B">
              <w:rPr>
                <w:rFonts w:ascii="Times New Roman" w:hAnsi="Times New Roman" w:cs="Times New Roman"/>
                <w:color w:val="000000"/>
                <w:sz w:val="24"/>
                <w:szCs w:val="24"/>
              </w:rPr>
              <w:t>Европейско икономическо пространство</w:t>
            </w:r>
          </w:p>
        </w:tc>
      </w:tr>
      <w:tr w:rsidR="00AE0B66" w:rsidRPr="00B3374B" w14:paraId="223BAC7A" w14:textId="77777777" w:rsidTr="00AE0B66">
        <w:trPr>
          <w:jc w:val="center"/>
        </w:trPr>
        <w:tc>
          <w:tcPr>
            <w:tcW w:w="1833" w:type="dxa"/>
            <w:vAlign w:val="center"/>
          </w:tcPr>
          <w:p w14:paraId="1CBDDE99"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ЕО</w:t>
            </w:r>
          </w:p>
        </w:tc>
        <w:tc>
          <w:tcPr>
            <w:tcW w:w="7455" w:type="dxa"/>
            <w:vAlign w:val="center"/>
          </w:tcPr>
          <w:p w14:paraId="3B115020"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Екологична оценка</w:t>
            </w:r>
          </w:p>
        </w:tc>
      </w:tr>
      <w:tr w:rsidR="00AE0B66" w:rsidRPr="00B3374B" w14:paraId="406C2698" w14:textId="77777777" w:rsidTr="00AE0B66">
        <w:trPr>
          <w:trHeight w:val="73"/>
          <w:jc w:val="center"/>
        </w:trPr>
        <w:tc>
          <w:tcPr>
            <w:tcW w:w="1833" w:type="dxa"/>
            <w:vAlign w:val="center"/>
          </w:tcPr>
          <w:p w14:paraId="6654776B"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ЕС</w:t>
            </w:r>
          </w:p>
        </w:tc>
        <w:tc>
          <w:tcPr>
            <w:tcW w:w="7455" w:type="dxa"/>
            <w:vAlign w:val="center"/>
          </w:tcPr>
          <w:p w14:paraId="51763F6D"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Европейски съюз</w:t>
            </w:r>
          </w:p>
        </w:tc>
      </w:tr>
      <w:tr w:rsidR="00AE0B66" w:rsidRPr="00B3374B" w14:paraId="70315E54" w14:textId="77777777" w:rsidTr="00AE0B66">
        <w:trPr>
          <w:jc w:val="center"/>
        </w:trPr>
        <w:tc>
          <w:tcPr>
            <w:tcW w:w="1833" w:type="dxa"/>
            <w:vAlign w:val="center"/>
          </w:tcPr>
          <w:p w14:paraId="10116193"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hAnsi="Times New Roman" w:cs="Times New Roman"/>
                <w:b/>
                <w:color w:val="000000"/>
                <w:sz w:val="24"/>
                <w:szCs w:val="24"/>
              </w:rPr>
              <w:t>ЕСО</w:t>
            </w:r>
          </w:p>
        </w:tc>
        <w:tc>
          <w:tcPr>
            <w:tcW w:w="7455" w:type="dxa"/>
            <w:vAlign w:val="center"/>
          </w:tcPr>
          <w:p w14:paraId="05D8FB67"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hAnsi="Times New Roman" w:cs="Times New Roman"/>
                <w:color w:val="000000"/>
                <w:sz w:val="24"/>
                <w:szCs w:val="24"/>
              </w:rPr>
              <w:t>Електроенергиен системен оператор</w:t>
            </w:r>
          </w:p>
        </w:tc>
      </w:tr>
      <w:tr w:rsidR="00AE0B66" w:rsidRPr="00B3374B" w14:paraId="6E59BEBB" w14:textId="77777777" w:rsidTr="00AE0B66">
        <w:trPr>
          <w:jc w:val="center"/>
        </w:trPr>
        <w:tc>
          <w:tcPr>
            <w:tcW w:w="1833" w:type="dxa"/>
            <w:vAlign w:val="center"/>
          </w:tcPr>
          <w:p w14:paraId="30FCBA65" w14:textId="77777777" w:rsidR="00AE0B66" w:rsidRPr="00B3374B" w:rsidRDefault="00AE0B66" w:rsidP="00AE0B66">
            <w:pPr>
              <w:rPr>
                <w:rFonts w:ascii="Times New Roman" w:hAnsi="Times New Roman" w:cs="Times New Roman"/>
                <w:b/>
                <w:color w:val="000000"/>
                <w:sz w:val="24"/>
                <w:szCs w:val="24"/>
                <w:lang w:val="en-US"/>
              </w:rPr>
            </w:pPr>
            <w:r w:rsidRPr="00B3374B">
              <w:rPr>
                <w:rFonts w:ascii="Times New Roman" w:hAnsi="Times New Roman" w:cs="Times New Roman"/>
                <w:b/>
                <w:color w:val="000000"/>
                <w:sz w:val="24"/>
                <w:szCs w:val="24"/>
              </w:rPr>
              <w:t>ЕЦИХ</w:t>
            </w:r>
          </w:p>
        </w:tc>
        <w:tc>
          <w:tcPr>
            <w:tcW w:w="7455" w:type="dxa"/>
            <w:vAlign w:val="center"/>
          </w:tcPr>
          <w:p w14:paraId="6A879486" w14:textId="77777777" w:rsidR="00AE0B66" w:rsidRPr="00B3374B" w:rsidRDefault="00AE0B66" w:rsidP="00AE0B66">
            <w:pPr>
              <w:jc w:val="both"/>
              <w:rPr>
                <w:rFonts w:ascii="Times New Roman" w:hAnsi="Times New Roman" w:cs="Times New Roman"/>
                <w:color w:val="000000"/>
                <w:sz w:val="24"/>
                <w:szCs w:val="24"/>
              </w:rPr>
            </w:pPr>
            <w:r w:rsidRPr="00B3374B">
              <w:rPr>
                <w:rFonts w:ascii="Times New Roman" w:hAnsi="Times New Roman" w:cs="Times New Roman"/>
                <w:color w:val="000000"/>
                <w:sz w:val="24"/>
                <w:szCs w:val="24"/>
              </w:rPr>
              <w:t>Европейски цифрови иновационни хъбове</w:t>
            </w:r>
          </w:p>
        </w:tc>
      </w:tr>
      <w:tr w:rsidR="00AE0B66" w:rsidRPr="00B3374B" w14:paraId="0A9E911F" w14:textId="77777777" w:rsidTr="00AE0B66">
        <w:trPr>
          <w:jc w:val="center"/>
        </w:trPr>
        <w:tc>
          <w:tcPr>
            <w:tcW w:w="1833" w:type="dxa"/>
            <w:vAlign w:val="center"/>
          </w:tcPr>
          <w:p w14:paraId="03F6F4EA"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ЗБР</w:t>
            </w:r>
          </w:p>
        </w:tc>
        <w:tc>
          <w:tcPr>
            <w:tcW w:w="7455" w:type="dxa"/>
            <w:vAlign w:val="center"/>
          </w:tcPr>
          <w:p w14:paraId="341E548E"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Закон за биологичното разнообразие</w:t>
            </w:r>
          </w:p>
        </w:tc>
      </w:tr>
      <w:tr w:rsidR="00AE0B66" w:rsidRPr="00B3374B" w14:paraId="7391B7C7" w14:textId="77777777" w:rsidTr="00AE0B66">
        <w:trPr>
          <w:jc w:val="center"/>
        </w:trPr>
        <w:tc>
          <w:tcPr>
            <w:tcW w:w="1833" w:type="dxa"/>
            <w:vAlign w:val="center"/>
          </w:tcPr>
          <w:p w14:paraId="00321B52" w14:textId="77777777" w:rsidR="00AE0B66" w:rsidRPr="00B3374B" w:rsidRDefault="00AE0B66" w:rsidP="00AE0B66">
            <w:pPr>
              <w:rPr>
                <w:rFonts w:ascii="Times New Roman" w:hAnsi="Times New Roman" w:cs="Times New Roman"/>
                <w:b/>
                <w:sz w:val="24"/>
                <w:szCs w:val="24"/>
                <w:lang w:val="en-US"/>
              </w:rPr>
            </w:pPr>
            <w:r w:rsidRPr="00B3374B">
              <w:rPr>
                <w:rFonts w:ascii="Times New Roman" w:hAnsi="Times New Roman" w:cs="Times New Roman"/>
                <w:b/>
                <w:sz w:val="24"/>
                <w:szCs w:val="24"/>
                <w:lang w:val="en-US"/>
              </w:rPr>
              <w:t>ЗЕВИ</w:t>
            </w:r>
          </w:p>
        </w:tc>
        <w:tc>
          <w:tcPr>
            <w:tcW w:w="7455" w:type="dxa"/>
            <w:vAlign w:val="center"/>
          </w:tcPr>
          <w:p w14:paraId="1D4ED017" w14:textId="77777777" w:rsidR="00AE0B66" w:rsidRPr="00B3374B" w:rsidRDefault="00AE0B66" w:rsidP="00AE0B66">
            <w:pPr>
              <w:jc w:val="both"/>
              <w:rPr>
                <w:rFonts w:ascii="Times New Roman" w:hAnsi="Times New Roman" w:cs="Times New Roman"/>
                <w:sz w:val="24"/>
                <w:szCs w:val="24"/>
              </w:rPr>
            </w:pPr>
            <w:r w:rsidRPr="00B3374B">
              <w:rPr>
                <w:rFonts w:ascii="Times New Roman" w:hAnsi="Times New Roman" w:cs="Times New Roman"/>
                <w:sz w:val="24"/>
                <w:szCs w:val="24"/>
              </w:rPr>
              <w:t>Закон за енергията от възобновяеми източници</w:t>
            </w:r>
          </w:p>
        </w:tc>
      </w:tr>
      <w:tr w:rsidR="00AE0B66" w:rsidRPr="00B3374B" w14:paraId="5332C10A" w14:textId="77777777" w:rsidTr="00AE0B66">
        <w:trPr>
          <w:jc w:val="center"/>
        </w:trPr>
        <w:tc>
          <w:tcPr>
            <w:tcW w:w="1833" w:type="dxa"/>
            <w:vAlign w:val="center"/>
          </w:tcPr>
          <w:p w14:paraId="38444913"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ЗЕЕ</w:t>
            </w:r>
          </w:p>
        </w:tc>
        <w:tc>
          <w:tcPr>
            <w:tcW w:w="7455" w:type="dxa"/>
            <w:vAlign w:val="center"/>
          </w:tcPr>
          <w:p w14:paraId="2EB43A71"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Закон за енергийната ефективност</w:t>
            </w:r>
          </w:p>
        </w:tc>
      </w:tr>
      <w:tr w:rsidR="00AE0B66" w:rsidRPr="00B3374B" w14:paraId="59418C19" w14:textId="77777777" w:rsidTr="00AE0B66">
        <w:trPr>
          <w:jc w:val="center"/>
        </w:trPr>
        <w:tc>
          <w:tcPr>
            <w:tcW w:w="1833" w:type="dxa"/>
            <w:vAlign w:val="center"/>
          </w:tcPr>
          <w:p w14:paraId="5D247B1E"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ЗЗТ</w:t>
            </w:r>
          </w:p>
        </w:tc>
        <w:tc>
          <w:tcPr>
            <w:tcW w:w="7455" w:type="dxa"/>
            <w:vAlign w:val="center"/>
          </w:tcPr>
          <w:p w14:paraId="5B94099C"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Закон за защитените територии</w:t>
            </w:r>
          </w:p>
        </w:tc>
      </w:tr>
      <w:tr w:rsidR="00AE0B66" w:rsidRPr="00B3374B" w14:paraId="2720B33A" w14:textId="77777777" w:rsidTr="00AE0B66">
        <w:trPr>
          <w:jc w:val="center"/>
        </w:trPr>
        <w:tc>
          <w:tcPr>
            <w:tcW w:w="1833" w:type="dxa"/>
            <w:vAlign w:val="center"/>
          </w:tcPr>
          <w:p w14:paraId="42A88089"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hAnsi="Times New Roman" w:cs="Times New Roman"/>
                <w:b/>
                <w:sz w:val="24"/>
                <w:szCs w:val="24"/>
              </w:rPr>
              <w:t>ЗИД на ЗЕ</w:t>
            </w:r>
          </w:p>
        </w:tc>
        <w:tc>
          <w:tcPr>
            <w:tcW w:w="7455" w:type="dxa"/>
            <w:vAlign w:val="center"/>
          </w:tcPr>
          <w:p w14:paraId="5557DF5C"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Закон за изменение и допълнение на Закона за енергетиката</w:t>
            </w:r>
          </w:p>
        </w:tc>
      </w:tr>
      <w:tr w:rsidR="00AE0B66" w:rsidRPr="00B3374B" w14:paraId="038005FE" w14:textId="77777777" w:rsidTr="00AE0B66">
        <w:trPr>
          <w:jc w:val="center"/>
        </w:trPr>
        <w:tc>
          <w:tcPr>
            <w:tcW w:w="1833" w:type="dxa"/>
            <w:vAlign w:val="center"/>
          </w:tcPr>
          <w:p w14:paraId="2C8873A4"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ЗКН</w:t>
            </w:r>
          </w:p>
        </w:tc>
        <w:tc>
          <w:tcPr>
            <w:tcW w:w="7455" w:type="dxa"/>
            <w:vAlign w:val="center"/>
          </w:tcPr>
          <w:p w14:paraId="09C91D91"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Закон за културното наследство</w:t>
            </w:r>
          </w:p>
        </w:tc>
      </w:tr>
      <w:tr w:rsidR="00AE0B66" w:rsidRPr="00B3374B" w14:paraId="76EE8F82" w14:textId="77777777" w:rsidTr="00AE0B66">
        <w:trPr>
          <w:jc w:val="center"/>
        </w:trPr>
        <w:tc>
          <w:tcPr>
            <w:tcW w:w="1833" w:type="dxa"/>
            <w:vAlign w:val="center"/>
          </w:tcPr>
          <w:p w14:paraId="61728B3B" w14:textId="77777777" w:rsidR="00AE0B66" w:rsidRPr="00B3374B" w:rsidRDefault="00AE0B66" w:rsidP="00AE0B66">
            <w:pPr>
              <w:rPr>
                <w:rFonts w:ascii="Times New Roman" w:hAnsi="Times New Roman" w:cs="Times New Roman"/>
                <w:b/>
                <w:sz w:val="24"/>
                <w:szCs w:val="24"/>
              </w:rPr>
            </w:pPr>
            <w:r w:rsidRPr="00B3374B">
              <w:rPr>
                <w:rFonts w:ascii="Times New Roman" w:hAnsi="Times New Roman" w:cs="Times New Roman"/>
                <w:b/>
                <w:sz w:val="24"/>
                <w:szCs w:val="24"/>
                <w:lang w:val="en-US"/>
              </w:rPr>
              <w:t>ЗННИИ</w:t>
            </w:r>
          </w:p>
        </w:tc>
        <w:tc>
          <w:tcPr>
            <w:tcW w:w="7455" w:type="dxa"/>
            <w:vAlign w:val="center"/>
          </w:tcPr>
          <w:p w14:paraId="02544BDA" w14:textId="77777777" w:rsidR="00AE0B66" w:rsidRPr="00B3374B" w:rsidRDefault="00AE0B66" w:rsidP="00AE0B66">
            <w:pPr>
              <w:jc w:val="both"/>
              <w:rPr>
                <w:rFonts w:ascii="Times New Roman" w:hAnsi="Times New Roman" w:cs="Times New Roman"/>
                <w:sz w:val="24"/>
                <w:szCs w:val="24"/>
              </w:rPr>
            </w:pPr>
            <w:r w:rsidRPr="00B3374B">
              <w:rPr>
                <w:rFonts w:ascii="Times New Roman" w:hAnsi="Times New Roman" w:cs="Times New Roman"/>
                <w:sz w:val="24"/>
                <w:szCs w:val="24"/>
              </w:rPr>
              <w:t>Закон за насърчаване на научните изследвания и иновациите</w:t>
            </w:r>
          </w:p>
        </w:tc>
      </w:tr>
      <w:tr w:rsidR="00AE0B66" w:rsidRPr="00B3374B" w14:paraId="2CE3F1EF" w14:textId="77777777" w:rsidTr="00AE0B66">
        <w:trPr>
          <w:jc w:val="center"/>
        </w:trPr>
        <w:tc>
          <w:tcPr>
            <w:tcW w:w="1833" w:type="dxa"/>
            <w:vAlign w:val="center"/>
          </w:tcPr>
          <w:p w14:paraId="3904599A" w14:textId="77777777" w:rsidR="00AE0B66" w:rsidRPr="00B3374B" w:rsidRDefault="00AE0B66" w:rsidP="00AE0B66">
            <w:pPr>
              <w:rPr>
                <w:rFonts w:ascii="Times New Roman" w:eastAsia="Times New Roman" w:hAnsi="Times New Roman" w:cs="Times New Roman"/>
                <w:b/>
                <w:color w:val="FF0000"/>
                <w:sz w:val="24"/>
                <w:szCs w:val="24"/>
                <w:lang w:eastAsia="bg-BG"/>
              </w:rPr>
            </w:pPr>
            <w:r w:rsidRPr="00B3374B">
              <w:rPr>
                <w:rFonts w:ascii="Times New Roman" w:hAnsi="Times New Roman" w:cs="Times New Roman"/>
                <w:b/>
                <w:color w:val="000000"/>
                <w:sz w:val="24"/>
                <w:szCs w:val="24"/>
              </w:rPr>
              <w:t>ЗПЗП</w:t>
            </w:r>
          </w:p>
        </w:tc>
        <w:tc>
          <w:tcPr>
            <w:tcW w:w="7455" w:type="dxa"/>
            <w:vAlign w:val="center"/>
          </w:tcPr>
          <w:p w14:paraId="76EE3E96" w14:textId="77777777" w:rsidR="00AE0B66" w:rsidRPr="00B3374B" w:rsidRDefault="00AE0B66" w:rsidP="00AE0B66">
            <w:pPr>
              <w:jc w:val="both"/>
              <w:rPr>
                <w:rFonts w:ascii="Times New Roman" w:eastAsia="Times New Roman" w:hAnsi="Times New Roman" w:cs="Times New Roman"/>
                <w:color w:val="FF0000"/>
                <w:sz w:val="24"/>
                <w:szCs w:val="24"/>
                <w:lang w:eastAsia="bg-BG"/>
              </w:rPr>
            </w:pPr>
            <w:r w:rsidRPr="00B3374B">
              <w:rPr>
                <w:rFonts w:ascii="Times New Roman" w:hAnsi="Times New Roman" w:cs="Times New Roman"/>
                <w:color w:val="000000"/>
                <w:sz w:val="24"/>
                <w:szCs w:val="24"/>
              </w:rPr>
              <w:t>Закон за подпомагане на земеделските производители</w:t>
            </w:r>
          </w:p>
        </w:tc>
      </w:tr>
      <w:tr w:rsidR="00AE0B66" w:rsidRPr="00B3374B" w14:paraId="14B56AEA" w14:textId="77777777" w:rsidTr="00AE0B66">
        <w:trPr>
          <w:jc w:val="center"/>
        </w:trPr>
        <w:tc>
          <w:tcPr>
            <w:tcW w:w="1833" w:type="dxa"/>
            <w:vAlign w:val="center"/>
          </w:tcPr>
          <w:p w14:paraId="3FC537F7" w14:textId="77777777" w:rsidR="00AE0B66" w:rsidRPr="00B3374B" w:rsidRDefault="00AE0B66" w:rsidP="00AE0B66">
            <w:pPr>
              <w:rPr>
                <w:rFonts w:ascii="Times New Roman" w:eastAsia="Times New Roman" w:hAnsi="Times New Roman" w:cs="Times New Roman"/>
                <w:b/>
                <w:color w:val="FF0000"/>
                <w:sz w:val="24"/>
                <w:szCs w:val="24"/>
                <w:lang w:eastAsia="bg-BG"/>
              </w:rPr>
            </w:pPr>
            <w:r w:rsidRPr="00B3374B">
              <w:rPr>
                <w:rFonts w:ascii="Times New Roman" w:eastAsia="Calibri" w:hAnsi="Times New Roman" w:cs="Times New Roman"/>
                <w:b/>
                <w:sz w:val="24"/>
                <w:szCs w:val="24"/>
              </w:rPr>
              <w:t>ИАГ</w:t>
            </w:r>
          </w:p>
        </w:tc>
        <w:tc>
          <w:tcPr>
            <w:tcW w:w="7455" w:type="dxa"/>
            <w:vAlign w:val="center"/>
          </w:tcPr>
          <w:p w14:paraId="0C00C5EA" w14:textId="77777777" w:rsidR="00AE0B66" w:rsidRPr="00B3374B" w:rsidRDefault="00AE0B66" w:rsidP="00AE0B66">
            <w:pPr>
              <w:spacing w:line="276" w:lineRule="auto"/>
              <w:contextualSpacing/>
              <w:jc w:val="both"/>
              <w:rPr>
                <w:rFonts w:ascii="Times New Roman" w:eastAsia="Calibri" w:hAnsi="Times New Roman" w:cs="Times New Roman"/>
                <w:sz w:val="24"/>
                <w:szCs w:val="24"/>
                <w:lang w:val="en-US"/>
              </w:rPr>
            </w:pPr>
            <w:r w:rsidRPr="00B3374B">
              <w:rPr>
                <w:rFonts w:ascii="Times New Roman" w:eastAsia="Calibri" w:hAnsi="Times New Roman" w:cs="Times New Roman"/>
                <w:sz w:val="24"/>
                <w:szCs w:val="24"/>
              </w:rPr>
              <w:t xml:space="preserve">Изпълнителна агенция по горите </w:t>
            </w:r>
          </w:p>
        </w:tc>
      </w:tr>
      <w:tr w:rsidR="00AE0B66" w:rsidRPr="00B3374B" w14:paraId="5CF66103" w14:textId="77777777" w:rsidTr="00AE0B66">
        <w:trPr>
          <w:jc w:val="center"/>
        </w:trPr>
        <w:tc>
          <w:tcPr>
            <w:tcW w:w="1833" w:type="dxa"/>
            <w:vAlign w:val="center"/>
          </w:tcPr>
          <w:p w14:paraId="0ED362BC"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ИАОС</w:t>
            </w:r>
          </w:p>
        </w:tc>
        <w:tc>
          <w:tcPr>
            <w:tcW w:w="7455" w:type="dxa"/>
            <w:vAlign w:val="center"/>
          </w:tcPr>
          <w:p w14:paraId="5E7F83F6"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Изпълнителна агенция по околна среда</w:t>
            </w:r>
          </w:p>
        </w:tc>
      </w:tr>
      <w:tr w:rsidR="00AE0B66" w:rsidRPr="00B3374B" w14:paraId="4197CD88" w14:textId="77777777" w:rsidTr="00AE0B66">
        <w:trPr>
          <w:jc w:val="center"/>
        </w:trPr>
        <w:tc>
          <w:tcPr>
            <w:tcW w:w="1833" w:type="dxa"/>
            <w:vAlign w:val="center"/>
          </w:tcPr>
          <w:p w14:paraId="72F49876" w14:textId="25C2EF76"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hAnsi="Times New Roman" w:cs="Times New Roman"/>
                <w:b/>
                <w:bCs/>
                <w:sz w:val="24"/>
                <w:szCs w:val="24"/>
              </w:rPr>
              <w:t>ИПЕК</w:t>
            </w:r>
          </w:p>
        </w:tc>
        <w:tc>
          <w:tcPr>
            <w:tcW w:w="7455" w:type="dxa"/>
            <w:vAlign w:val="center"/>
          </w:tcPr>
          <w:p w14:paraId="2C89E80C"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hAnsi="Times New Roman" w:cs="Times New Roman"/>
                <w:bCs/>
                <w:sz w:val="24"/>
                <w:szCs w:val="24"/>
              </w:rPr>
              <w:t>Интегриран план в областта на енергетиката и климата на Република България - актуализация 2024 г.</w:t>
            </w:r>
          </w:p>
        </w:tc>
      </w:tr>
      <w:tr w:rsidR="00AE0B66" w:rsidRPr="00B3374B" w14:paraId="6A4D2243" w14:textId="77777777" w:rsidTr="00AE0B66">
        <w:trPr>
          <w:jc w:val="center"/>
        </w:trPr>
        <w:tc>
          <w:tcPr>
            <w:tcW w:w="1833" w:type="dxa"/>
            <w:vAlign w:val="center"/>
          </w:tcPr>
          <w:p w14:paraId="77B4A495" w14:textId="77777777" w:rsidR="00AE0B66" w:rsidRPr="00B3374B" w:rsidRDefault="00AE0B66" w:rsidP="00AE0B66">
            <w:pPr>
              <w:rPr>
                <w:rFonts w:ascii="Times New Roman" w:hAnsi="Times New Roman" w:cs="Times New Roman"/>
                <w:b/>
                <w:bCs/>
                <w:sz w:val="24"/>
                <w:szCs w:val="24"/>
              </w:rPr>
            </w:pPr>
            <w:r w:rsidRPr="00B3374B">
              <w:rPr>
                <w:rFonts w:ascii="Times New Roman" w:hAnsi="Times New Roman" w:cs="Times New Roman"/>
                <w:b/>
                <w:color w:val="000000"/>
                <w:sz w:val="24"/>
                <w:szCs w:val="24"/>
              </w:rPr>
              <w:t>ИСИС</w:t>
            </w:r>
          </w:p>
        </w:tc>
        <w:tc>
          <w:tcPr>
            <w:tcW w:w="7455" w:type="dxa"/>
            <w:vAlign w:val="center"/>
          </w:tcPr>
          <w:p w14:paraId="681AE196" w14:textId="77777777" w:rsidR="00AE0B66" w:rsidRPr="00B3374B" w:rsidRDefault="00AE0B66" w:rsidP="00AE0B66">
            <w:pPr>
              <w:jc w:val="both"/>
              <w:rPr>
                <w:rFonts w:ascii="Times New Roman" w:hAnsi="Times New Roman" w:cs="Times New Roman"/>
                <w:bCs/>
                <w:sz w:val="24"/>
                <w:szCs w:val="24"/>
              </w:rPr>
            </w:pPr>
            <w:r w:rsidRPr="00B3374B">
              <w:rPr>
                <w:rFonts w:ascii="Times New Roman" w:hAnsi="Times New Roman" w:cs="Times New Roman"/>
                <w:color w:val="000000"/>
                <w:sz w:val="24"/>
                <w:szCs w:val="24"/>
              </w:rPr>
              <w:t>Иновационната стратегия за интелигентна специализация</w:t>
            </w:r>
          </w:p>
        </w:tc>
      </w:tr>
      <w:tr w:rsidR="00AE0B66" w:rsidRPr="00B3374B" w14:paraId="4DA6C816" w14:textId="77777777" w:rsidTr="00AE0B66">
        <w:trPr>
          <w:jc w:val="center"/>
        </w:trPr>
        <w:tc>
          <w:tcPr>
            <w:tcW w:w="1833" w:type="dxa"/>
            <w:vAlign w:val="center"/>
          </w:tcPr>
          <w:p w14:paraId="2C285E53" w14:textId="77777777" w:rsidR="00AE0B66" w:rsidRPr="00B3374B" w:rsidRDefault="00AE0B66" w:rsidP="00AE0B66">
            <w:pPr>
              <w:rPr>
                <w:rFonts w:ascii="Times New Roman" w:hAnsi="Times New Roman" w:cs="Times New Roman"/>
                <w:b/>
                <w:color w:val="000000"/>
                <w:sz w:val="24"/>
                <w:szCs w:val="24"/>
              </w:rPr>
            </w:pPr>
            <w:r w:rsidRPr="00B3374B">
              <w:rPr>
                <w:rFonts w:ascii="Times New Roman" w:hAnsi="Times New Roman" w:cs="Times New Roman"/>
                <w:b/>
                <w:color w:val="000000"/>
                <w:sz w:val="24"/>
                <w:szCs w:val="24"/>
              </w:rPr>
              <w:t>КЕВР</w:t>
            </w:r>
          </w:p>
        </w:tc>
        <w:tc>
          <w:tcPr>
            <w:tcW w:w="7455" w:type="dxa"/>
            <w:vAlign w:val="center"/>
          </w:tcPr>
          <w:p w14:paraId="23B764E7" w14:textId="77777777" w:rsidR="00AE0B66" w:rsidRPr="00B3374B" w:rsidRDefault="00AE0B66" w:rsidP="00AE0B66">
            <w:pPr>
              <w:jc w:val="both"/>
              <w:rPr>
                <w:rFonts w:ascii="Times New Roman" w:hAnsi="Times New Roman" w:cs="Times New Roman"/>
                <w:color w:val="000000"/>
                <w:sz w:val="24"/>
                <w:szCs w:val="24"/>
              </w:rPr>
            </w:pPr>
            <w:r w:rsidRPr="00B3374B">
              <w:rPr>
                <w:rFonts w:ascii="Times New Roman" w:hAnsi="Times New Roman" w:cs="Times New Roman"/>
                <w:color w:val="000000"/>
                <w:sz w:val="24"/>
                <w:szCs w:val="24"/>
              </w:rPr>
              <w:t>Комисия за енергийно и водно регулиране</w:t>
            </w:r>
          </w:p>
        </w:tc>
      </w:tr>
      <w:tr w:rsidR="00AE0B66" w:rsidRPr="00B3374B" w14:paraId="10E96C75" w14:textId="77777777" w:rsidTr="00AE0B66">
        <w:trPr>
          <w:jc w:val="center"/>
        </w:trPr>
        <w:tc>
          <w:tcPr>
            <w:tcW w:w="1833" w:type="dxa"/>
            <w:vAlign w:val="center"/>
          </w:tcPr>
          <w:p w14:paraId="1256C97D" w14:textId="77777777" w:rsidR="00AE0B66" w:rsidRPr="00B3374B" w:rsidRDefault="00AE0B66" w:rsidP="00AE0B66">
            <w:pPr>
              <w:rPr>
                <w:rFonts w:ascii="Times New Roman" w:eastAsia="Times New Roman" w:hAnsi="Times New Roman" w:cs="Times New Roman"/>
                <w:b/>
                <w:color w:val="FF0000"/>
                <w:sz w:val="24"/>
                <w:szCs w:val="24"/>
                <w:lang w:eastAsia="bg-BG"/>
              </w:rPr>
            </w:pPr>
            <w:r w:rsidRPr="00B3374B">
              <w:rPr>
                <w:rFonts w:ascii="Times New Roman" w:hAnsi="Times New Roman" w:cs="Times New Roman"/>
                <w:b/>
                <w:color w:val="000000"/>
                <w:sz w:val="24"/>
                <w:szCs w:val="24"/>
              </w:rPr>
              <w:t>КТСП</w:t>
            </w:r>
          </w:p>
        </w:tc>
        <w:tc>
          <w:tcPr>
            <w:tcW w:w="7455" w:type="dxa"/>
            <w:vAlign w:val="center"/>
          </w:tcPr>
          <w:p w14:paraId="267C7D8E" w14:textId="77777777" w:rsidR="00AE0B66" w:rsidRPr="00B3374B" w:rsidRDefault="006B329E" w:rsidP="00AE0B66">
            <w:pPr>
              <w:jc w:val="both"/>
              <w:rPr>
                <w:rFonts w:ascii="Times New Roman" w:eastAsia="Times New Roman" w:hAnsi="Times New Roman" w:cs="Times New Roman"/>
                <w:color w:val="FF0000"/>
                <w:sz w:val="24"/>
                <w:szCs w:val="24"/>
                <w:lang w:eastAsia="bg-BG"/>
              </w:rPr>
            </w:pPr>
            <w:r>
              <w:rPr>
                <w:rFonts w:ascii="Times New Roman" w:hAnsi="Times New Roman" w:cs="Times New Roman"/>
                <w:color w:val="000000"/>
                <w:sz w:val="24"/>
                <w:szCs w:val="24"/>
              </w:rPr>
              <w:t>Контактна</w:t>
            </w:r>
            <w:r w:rsidR="00AE0B66" w:rsidRPr="00B3374B">
              <w:rPr>
                <w:rFonts w:ascii="Times New Roman" w:hAnsi="Times New Roman" w:cs="Times New Roman"/>
                <w:color w:val="000000"/>
                <w:sz w:val="24"/>
                <w:szCs w:val="24"/>
              </w:rPr>
              <w:t xml:space="preserve"> точка за строителни продукти</w:t>
            </w:r>
          </w:p>
        </w:tc>
      </w:tr>
      <w:tr w:rsidR="00AE0B66" w:rsidRPr="00B3374B" w14:paraId="2B7BC6A0" w14:textId="77777777" w:rsidTr="00AE0B66">
        <w:trPr>
          <w:jc w:val="center"/>
        </w:trPr>
        <w:tc>
          <w:tcPr>
            <w:tcW w:w="1833" w:type="dxa"/>
            <w:vAlign w:val="center"/>
          </w:tcPr>
          <w:p w14:paraId="65F27CFF"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МЕ</w:t>
            </w:r>
          </w:p>
        </w:tc>
        <w:tc>
          <w:tcPr>
            <w:tcW w:w="7455" w:type="dxa"/>
            <w:vAlign w:val="center"/>
          </w:tcPr>
          <w:p w14:paraId="22B24131"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Министерство на енергетиката</w:t>
            </w:r>
          </w:p>
        </w:tc>
      </w:tr>
      <w:tr w:rsidR="00AE0B66" w:rsidRPr="00B3374B" w14:paraId="094EDF1C" w14:textId="77777777" w:rsidTr="00AE0B66">
        <w:trPr>
          <w:jc w:val="center"/>
        </w:trPr>
        <w:tc>
          <w:tcPr>
            <w:tcW w:w="1833" w:type="dxa"/>
            <w:vAlign w:val="center"/>
          </w:tcPr>
          <w:p w14:paraId="467FA916"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МЗ</w:t>
            </w:r>
          </w:p>
        </w:tc>
        <w:tc>
          <w:tcPr>
            <w:tcW w:w="7455" w:type="dxa"/>
            <w:vAlign w:val="center"/>
          </w:tcPr>
          <w:p w14:paraId="2A869D57"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Министерство на здравеопазването</w:t>
            </w:r>
          </w:p>
        </w:tc>
      </w:tr>
      <w:tr w:rsidR="00AE0B66" w:rsidRPr="00B3374B" w14:paraId="1C5725BD" w14:textId="77777777" w:rsidTr="00AE0B66">
        <w:trPr>
          <w:jc w:val="center"/>
        </w:trPr>
        <w:tc>
          <w:tcPr>
            <w:tcW w:w="1833" w:type="dxa"/>
            <w:vAlign w:val="center"/>
          </w:tcPr>
          <w:p w14:paraId="31D1FA1B"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val="en-US" w:eastAsia="bg-BG"/>
              </w:rPr>
              <w:t>МИР</w:t>
            </w:r>
          </w:p>
        </w:tc>
        <w:tc>
          <w:tcPr>
            <w:tcW w:w="7455" w:type="dxa"/>
            <w:vAlign w:val="center"/>
          </w:tcPr>
          <w:p w14:paraId="5F74BBD8"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val="en-US" w:eastAsia="bg-BG"/>
              </w:rPr>
              <w:t>Министерство на иновациите и растежа</w:t>
            </w:r>
          </w:p>
        </w:tc>
      </w:tr>
      <w:tr w:rsidR="00AE0B66" w:rsidRPr="00B3374B" w14:paraId="4F7123E2" w14:textId="77777777" w:rsidTr="00AE0B66">
        <w:trPr>
          <w:jc w:val="center"/>
        </w:trPr>
        <w:tc>
          <w:tcPr>
            <w:tcW w:w="1833" w:type="dxa"/>
            <w:vAlign w:val="center"/>
          </w:tcPr>
          <w:p w14:paraId="564F7616"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МОСВ</w:t>
            </w:r>
          </w:p>
        </w:tc>
        <w:tc>
          <w:tcPr>
            <w:tcW w:w="7455" w:type="dxa"/>
            <w:vAlign w:val="center"/>
          </w:tcPr>
          <w:p w14:paraId="41720D33"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Министерство на околната среда и водите</w:t>
            </w:r>
          </w:p>
        </w:tc>
      </w:tr>
      <w:tr w:rsidR="00AE0B66" w:rsidRPr="00B3374B" w14:paraId="079D4BB8" w14:textId="77777777" w:rsidTr="00AE0B66">
        <w:trPr>
          <w:jc w:val="center"/>
        </w:trPr>
        <w:tc>
          <w:tcPr>
            <w:tcW w:w="1833" w:type="dxa"/>
            <w:vAlign w:val="center"/>
          </w:tcPr>
          <w:p w14:paraId="427A8472" w14:textId="77777777" w:rsidR="00AE0B66" w:rsidRPr="00B3374B" w:rsidRDefault="00AE0B66" w:rsidP="00AE0B66">
            <w:pPr>
              <w:rPr>
                <w:rFonts w:ascii="Times New Roman" w:eastAsia="Times New Roman" w:hAnsi="Times New Roman" w:cs="Times New Roman"/>
                <w:b/>
                <w:sz w:val="24"/>
                <w:szCs w:val="24"/>
                <w:highlight w:val="green"/>
                <w:lang w:eastAsia="bg-BG"/>
              </w:rPr>
            </w:pPr>
            <w:r w:rsidRPr="00B3374B">
              <w:rPr>
                <w:rFonts w:ascii="Times New Roman" w:eastAsia="Calibri" w:hAnsi="Times New Roman" w:cs="Times New Roman"/>
                <w:b/>
                <w:sz w:val="24"/>
                <w:szCs w:val="24"/>
              </w:rPr>
              <w:t>МРРБ</w:t>
            </w:r>
          </w:p>
        </w:tc>
        <w:tc>
          <w:tcPr>
            <w:tcW w:w="7455" w:type="dxa"/>
            <w:vAlign w:val="center"/>
          </w:tcPr>
          <w:p w14:paraId="7137E01A" w14:textId="77777777" w:rsidR="00AE0B66" w:rsidRPr="00B3374B" w:rsidRDefault="00AE0B66" w:rsidP="00AE0B66">
            <w:pPr>
              <w:jc w:val="both"/>
              <w:rPr>
                <w:rFonts w:ascii="Times New Roman" w:eastAsia="Times New Roman" w:hAnsi="Times New Roman" w:cs="Times New Roman"/>
                <w:sz w:val="24"/>
                <w:szCs w:val="24"/>
                <w:highlight w:val="green"/>
                <w:lang w:eastAsia="bg-BG"/>
              </w:rPr>
            </w:pPr>
            <w:r w:rsidRPr="00B3374B">
              <w:rPr>
                <w:rFonts w:ascii="Times New Roman" w:eastAsia="Calibri" w:hAnsi="Times New Roman" w:cs="Times New Roman"/>
                <w:sz w:val="24"/>
                <w:szCs w:val="24"/>
              </w:rPr>
              <w:t>Министерство на регионалното развитие и благоустройството</w:t>
            </w:r>
          </w:p>
        </w:tc>
      </w:tr>
      <w:tr w:rsidR="00AE0B66" w:rsidRPr="00B3374B" w14:paraId="15A0A845" w14:textId="77777777" w:rsidTr="00AE0B66">
        <w:trPr>
          <w:jc w:val="center"/>
        </w:trPr>
        <w:tc>
          <w:tcPr>
            <w:tcW w:w="1833" w:type="dxa"/>
            <w:vAlign w:val="center"/>
          </w:tcPr>
          <w:p w14:paraId="386E9880"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МС</w:t>
            </w:r>
          </w:p>
        </w:tc>
        <w:tc>
          <w:tcPr>
            <w:tcW w:w="7455" w:type="dxa"/>
            <w:vAlign w:val="center"/>
          </w:tcPr>
          <w:p w14:paraId="05DD4B5B"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Министерски съвет</w:t>
            </w:r>
          </w:p>
        </w:tc>
      </w:tr>
      <w:tr w:rsidR="00AE0B66" w:rsidRPr="00B3374B" w14:paraId="1B9481F8" w14:textId="77777777" w:rsidTr="00AE0B66">
        <w:trPr>
          <w:jc w:val="center"/>
        </w:trPr>
        <w:tc>
          <w:tcPr>
            <w:tcW w:w="1833" w:type="dxa"/>
            <w:vAlign w:val="center"/>
          </w:tcPr>
          <w:p w14:paraId="4F641A1C" w14:textId="77777777" w:rsidR="00AE0B66" w:rsidRPr="00B3374B" w:rsidRDefault="00AE0B66" w:rsidP="00AE0B66">
            <w:pPr>
              <w:rPr>
                <w:rFonts w:ascii="Times New Roman" w:hAnsi="Times New Roman" w:cs="Times New Roman"/>
                <w:b/>
                <w:color w:val="000000"/>
                <w:sz w:val="24"/>
                <w:szCs w:val="24"/>
                <w:lang w:val="en-US"/>
              </w:rPr>
            </w:pPr>
            <w:r w:rsidRPr="00B3374B">
              <w:rPr>
                <w:rFonts w:ascii="Times New Roman" w:hAnsi="Times New Roman" w:cs="Times New Roman"/>
                <w:b/>
                <w:color w:val="000000"/>
                <w:sz w:val="24"/>
                <w:szCs w:val="24"/>
              </w:rPr>
              <w:t>МСП</w:t>
            </w:r>
          </w:p>
        </w:tc>
        <w:tc>
          <w:tcPr>
            <w:tcW w:w="7455" w:type="dxa"/>
            <w:vAlign w:val="center"/>
          </w:tcPr>
          <w:p w14:paraId="4E4A831B" w14:textId="77777777" w:rsidR="00AE0B66" w:rsidRPr="00B3374B" w:rsidRDefault="00AE0B66" w:rsidP="00AE0B66">
            <w:pPr>
              <w:jc w:val="both"/>
              <w:rPr>
                <w:rFonts w:ascii="Times New Roman" w:hAnsi="Times New Roman" w:cs="Times New Roman"/>
                <w:color w:val="000000"/>
                <w:sz w:val="24"/>
                <w:szCs w:val="24"/>
              </w:rPr>
            </w:pPr>
            <w:r w:rsidRPr="00B3374B">
              <w:rPr>
                <w:rFonts w:ascii="Times New Roman" w:hAnsi="Times New Roman" w:cs="Times New Roman"/>
                <w:color w:val="000000"/>
                <w:sz w:val="24"/>
                <w:szCs w:val="24"/>
              </w:rPr>
              <w:t>Малки и средни предприятия</w:t>
            </w:r>
          </w:p>
        </w:tc>
      </w:tr>
      <w:tr w:rsidR="00AE0B66" w:rsidRPr="00B3374B" w14:paraId="5071993D" w14:textId="77777777" w:rsidTr="00AE0B66">
        <w:trPr>
          <w:jc w:val="center"/>
        </w:trPr>
        <w:tc>
          <w:tcPr>
            <w:tcW w:w="1833" w:type="dxa"/>
            <w:vAlign w:val="center"/>
          </w:tcPr>
          <w:p w14:paraId="2B4AD4CC" w14:textId="77777777" w:rsidR="00AE0B66" w:rsidRPr="00B3374B" w:rsidRDefault="00AE0B66" w:rsidP="00AE0B66">
            <w:pPr>
              <w:rPr>
                <w:rFonts w:ascii="Times New Roman" w:eastAsia="Calibri" w:hAnsi="Times New Roman" w:cs="Times New Roman"/>
                <w:b/>
                <w:sz w:val="24"/>
                <w:szCs w:val="24"/>
              </w:rPr>
            </w:pPr>
            <w:r w:rsidRPr="00B3374B">
              <w:rPr>
                <w:rFonts w:ascii="Times New Roman" w:eastAsia="Calibri" w:hAnsi="Times New Roman" w:cs="Times New Roman"/>
                <w:b/>
                <w:sz w:val="24"/>
                <w:szCs w:val="24"/>
              </w:rPr>
              <w:lastRenderedPageBreak/>
              <w:t>МТ</w:t>
            </w:r>
          </w:p>
        </w:tc>
        <w:tc>
          <w:tcPr>
            <w:tcW w:w="7455" w:type="dxa"/>
            <w:vAlign w:val="center"/>
          </w:tcPr>
          <w:p w14:paraId="70D25772" w14:textId="77777777" w:rsidR="00AE0B66" w:rsidRPr="00B3374B" w:rsidRDefault="00AE0B66" w:rsidP="00AE0B66">
            <w:pPr>
              <w:jc w:val="both"/>
              <w:rPr>
                <w:rFonts w:ascii="Times New Roman" w:eastAsia="Calibri" w:hAnsi="Times New Roman" w:cs="Times New Roman"/>
                <w:sz w:val="24"/>
                <w:szCs w:val="24"/>
              </w:rPr>
            </w:pPr>
            <w:r w:rsidRPr="00B3374B">
              <w:rPr>
                <w:rFonts w:ascii="Times New Roman" w:eastAsia="Calibri" w:hAnsi="Times New Roman" w:cs="Times New Roman"/>
                <w:sz w:val="24"/>
                <w:szCs w:val="24"/>
              </w:rPr>
              <w:t>Министерство на транспорта</w:t>
            </w:r>
          </w:p>
        </w:tc>
      </w:tr>
      <w:tr w:rsidR="00AE0B66" w:rsidRPr="00B3374B" w14:paraId="1DDFC951" w14:textId="77777777" w:rsidTr="00AE0B66">
        <w:trPr>
          <w:jc w:val="center"/>
        </w:trPr>
        <w:tc>
          <w:tcPr>
            <w:tcW w:w="1833" w:type="dxa"/>
            <w:vAlign w:val="center"/>
          </w:tcPr>
          <w:p w14:paraId="3110977F" w14:textId="77777777" w:rsidR="00AE0B66" w:rsidRPr="00B3374B" w:rsidRDefault="00AE0B66" w:rsidP="00AE0B66">
            <w:pPr>
              <w:rPr>
                <w:rFonts w:ascii="Times New Roman" w:eastAsia="Calibri" w:hAnsi="Times New Roman" w:cs="Times New Roman"/>
                <w:b/>
                <w:sz w:val="24"/>
                <w:szCs w:val="24"/>
              </w:rPr>
            </w:pPr>
            <w:r w:rsidRPr="00B3374B">
              <w:rPr>
                <w:rFonts w:ascii="Times New Roman" w:eastAsia="Calibri" w:hAnsi="Times New Roman" w:cs="Times New Roman"/>
                <w:b/>
                <w:sz w:val="24"/>
                <w:szCs w:val="24"/>
              </w:rPr>
              <w:t>МТСП</w:t>
            </w:r>
          </w:p>
        </w:tc>
        <w:tc>
          <w:tcPr>
            <w:tcW w:w="7455" w:type="dxa"/>
            <w:vAlign w:val="center"/>
          </w:tcPr>
          <w:p w14:paraId="6490B0E9" w14:textId="77777777" w:rsidR="00AE0B66" w:rsidRPr="00B3374B" w:rsidRDefault="00AE0B66" w:rsidP="00AE0B66">
            <w:pPr>
              <w:jc w:val="both"/>
              <w:rPr>
                <w:rFonts w:ascii="Times New Roman" w:eastAsia="Calibri" w:hAnsi="Times New Roman" w:cs="Times New Roman"/>
                <w:sz w:val="24"/>
                <w:szCs w:val="24"/>
              </w:rPr>
            </w:pPr>
            <w:r w:rsidRPr="00B3374B">
              <w:rPr>
                <w:rFonts w:ascii="Times New Roman" w:eastAsia="Calibri" w:hAnsi="Times New Roman" w:cs="Times New Roman"/>
                <w:sz w:val="24"/>
                <w:szCs w:val="24"/>
              </w:rPr>
              <w:t>Министерство на труда и социалната политика</w:t>
            </w:r>
          </w:p>
        </w:tc>
      </w:tr>
      <w:tr w:rsidR="00AE0B66" w:rsidRPr="00B3374B" w14:paraId="579FBA64" w14:textId="77777777" w:rsidTr="00AE0B66">
        <w:trPr>
          <w:jc w:val="center"/>
        </w:trPr>
        <w:tc>
          <w:tcPr>
            <w:tcW w:w="1833" w:type="dxa"/>
            <w:vAlign w:val="center"/>
          </w:tcPr>
          <w:p w14:paraId="2D3AE6C5" w14:textId="77777777" w:rsidR="00AE0B66" w:rsidRPr="00B3374B" w:rsidRDefault="00AE0B66" w:rsidP="00AE0B66">
            <w:pPr>
              <w:rPr>
                <w:rFonts w:ascii="Times New Roman" w:eastAsia="Calibri" w:hAnsi="Times New Roman" w:cs="Times New Roman"/>
                <w:b/>
                <w:sz w:val="24"/>
                <w:szCs w:val="24"/>
              </w:rPr>
            </w:pPr>
            <w:r w:rsidRPr="00B3374B">
              <w:rPr>
                <w:rFonts w:ascii="Times New Roman" w:eastAsia="Calibri" w:hAnsi="Times New Roman" w:cs="Times New Roman"/>
                <w:b/>
                <w:sz w:val="24"/>
                <w:szCs w:val="24"/>
              </w:rPr>
              <w:t>МФ</w:t>
            </w:r>
          </w:p>
        </w:tc>
        <w:tc>
          <w:tcPr>
            <w:tcW w:w="7455" w:type="dxa"/>
            <w:vAlign w:val="center"/>
          </w:tcPr>
          <w:p w14:paraId="47B3CBD6" w14:textId="77777777" w:rsidR="00AE0B66" w:rsidRPr="00B3374B" w:rsidRDefault="00AE0B66" w:rsidP="00AE0B66">
            <w:pPr>
              <w:jc w:val="both"/>
              <w:rPr>
                <w:rFonts w:ascii="Times New Roman" w:eastAsia="Calibri" w:hAnsi="Times New Roman" w:cs="Times New Roman"/>
                <w:sz w:val="24"/>
                <w:szCs w:val="24"/>
              </w:rPr>
            </w:pPr>
            <w:r w:rsidRPr="00B3374B">
              <w:rPr>
                <w:rFonts w:ascii="Times New Roman" w:eastAsia="Calibri" w:hAnsi="Times New Roman" w:cs="Times New Roman"/>
                <w:sz w:val="24"/>
                <w:szCs w:val="24"/>
              </w:rPr>
              <w:t>Министерство на финансите</w:t>
            </w:r>
          </w:p>
        </w:tc>
      </w:tr>
      <w:tr w:rsidR="00AE0B66" w:rsidRPr="00B3374B" w14:paraId="1645134C" w14:textId="77777777" w:rsidTr="00AE0B66">
        <w:trPr>
          <w:jc w:val="center"/>
        </w:trPr>
        <w:tc>
          <w:tcPr>
            <w:tcW w:w="1833" w:type="dxa"/>
            <w:vAlign w:val="center"/>
          </w:tcPr>
          <w:p w14:paraId="25BE6C84"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НЕК</w:t>
            </w:r>
          </w:p>
        </w:tc>
        <w:tc>
          <w:tcPr>
            <w:tcW w:w="7455" w:type="dxa"/>
            <w:vAlign w:val="center"/>
          </w:tcPr>
          <w:p w14:paraId="1555C3CC"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Национална електрическа компания</w:t>
            </w:r>
          </w:p>
        </w:tc>
      </w:tr>
      <w:tr w:rsidR="00AE0B66" w:rsidRPr="00B3374B" w14:paraId="42872176" w14:textId="77777777" w:rsidTr="00AE0B66">
        <w:trPr>
          <w:jc w:val="center"/>
        </w:trPr>
        <w:tc>
          <w:tcPr>
            <w:tcW w:w="1833" w:type="dxa"/>
            <w:vAlign w:val="center"/>
          </w:tcPr>
          <w:p w14:paraId="73020833" w14:textId="77777777" w:rsidR="00AE0B66" w:rsidRPr="00B3374B" w:rsidRDefault="00AE0B66" w:rsidP="00AE0B66">
            <w:pPr>
              <w:rPr>
                <w:rFonts w:ascii="Times New Roman" w:hAnsi="Times New Roman" w:cs="Times New Roman"/>
                <w:b/>
                <w:color w:val="000000"/>
                <w:sz w:val="24"/>
                <w:szCs w:val="24"/>
                <w:lang w:val="en-US"/>
              </w:rPr>
            </w:pPr>
            <w:r w:rsidRPr="00B3374B">
              <w:rPr>
                <w:rFonts w:ascii="Times New Roman" w:hAnsi="Times New Roman" w:cs="Times New Roman"/>
                <w:b/>
                <w:color w:val="000000"/>
                <w:sz w:val="24"/>
                <w:szCs w:val="24"/>
              </w:rPr>
              <w:t>НИРД</w:t>
            </w:r>
          </w:p>
        </w:tc>
        <w:tc>
          <w:tcPr>
            <w:tcW w:w="7455" w:type="dxa"/>
            <w:vAlign w:val="center"/>
          </w:tcPr>
          <w:p w14:paraId="30017235" w14:textId="77777777" w:rsidR="00AE0B66" w:rsidRPr="00B3374B" w:rsidRDefault="00AE0B66" w:rsidP="00AE0B66">
            <w:pPr>
              <w:jc w:val="both"/>
              <w:rPr>
                <w:rFonts w:ascii="Times New Roman" w:hAnsi="Times New Roman" w:cs="Times New Roman"/>
                <w:color w:val="000000"/>
                <w:sz w:val="24"/>
                <w:szCs w:val="24"/>
              </w:rPr>
            </w:pPr>
            <w:r w:rsidRPr="00B3374B">
              <w:rPr>
                <w:rFonts w:ascii="Times New Roman" w:hAnsi="Times New Roman" w:cs="Times New Roman"/>
                <w:color w:val="000000"/>
                <w:sz w:val="24"/>
                <w:szCs w:val="24"/>
              </w:rPr>
              <w:t>Научно-изследователска и развойна дейност</w:t>
            </w:r>
          </w:p>
        </w:tc>
      </w:tr>
      <w:tr w:rsidR="00AE0B66" w:rsidRPr="00B3374B" w14:paraId="46F9EFF2" w14:textId="77777777" w:rsidTr="00AE0B66">
        <w:trPr>
          <w:jc w:val="center"/>
        </w:trPr>
        <w:tc>
          <w:tcPr>
            <w:tcW w:w="1833" w:type="dxa"/>
            <w:vAlign w:val="center"/>
          </w:tcPr>
          <w:p w14:paraId="551B8D46"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НКЦ към НИНКН</w:t>
            </w:r>
          </w:p>
        </w:tc>
        <w:tc>
          <w:tcPr>
            <w:tcW w:w="7455" w:type="dxa"/>
            <w:vAlign w:val="center"/>
          </w:tcPr>
          <w:p w14:paraId="1D07955E" w14:textId="77777777" w:rsidR="00AE0B66" w:rsidRPr="00B3374B" w:rsidRDefault="00AE0B66" w:rsidP="00AE0B66">
            <w:pPr>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Национални културни ценности към Национален институт за недвижимо културно наследство</w:t>
            </w:r>
          </w:p>
        </w:tc>
      </w:tr>
      <w:tr w:rsidR="00AE0B66" w:rsidRPr="00B3374B" w14:paraId="44660F1F" w14:textId="77777777" w:rsidTr="00AE0B66">
        <w:trPr>
          <w:jc w:val="center"/>
        </w:trPr>
        <w:tc>
          <w:tcPr>
            <w:tcW w:w="1833" w:type="dxa"/>
            <w:vAlign w:val="center"/>
          </w:tcPr>
          <w:p w14:paraId="7D76E49C" w14:textId="77777777" w:rsidR="00AE0B66" w:rsidRPr="00B3374B" w:rsidRDefault="00AE0B66" w:rsidP="00AE0B66">
            <w:pPr>
              <w:rPr>
                <w:rFonts w:ascii="Times New Roman" w:hAnsi="Times New Roman" w:cs="Times New Roman"/>
                <w:b/>
                <w:sz w:val="24"/>
                <w:szCs w:val="24"/>
              </w:rPr>
            </w:pPr>
            <w:r w:rsidRPr="00B3374B">
              <w:rPr>
                <w:rFonts w:ascii="Times New Roman" w:hAnsi="Times New Roman" w:cs="Times New Roman"/>
                <w:b/>
                <w:sz w:val="24"/>
                <w:szCs w:val="24"/>
              </w:rPr>
              <w:t>НОПЕ</w:t>
            </w:r>
          </w:p>
        </w:tc>
        <w:tc>
          <w:tcPr>
            <w:tcW w:w="7455" w:type="dxa"/>
            <w:vAlign w:val="center"/>
          </w:tcPr>
          <w:p w14:paraId="552D42BC" w14:textId="77777777" w:rsidR="00AE0B66" w:rsidRPr="00B3374B" w:rsidRDefault="00AE0B66" w:rsidP="00AE0B66">
            <w:pPr>
              <w:rPr>
                <w:rFonts w:ascii="Times New Roman" w:hAnsi="Times New Roman" w:cs="Times New Roman"/>
                <w:sz w:val="24"/>
                <w:szCs w:val="24"/>
                <w:lang w:val="en-US"/>
              </w:rPr>
            </w:pPr>
            <w:r w:rsidRPr="00B3374B">
              <w:rPr>
                <w:rFonts w:ascii="Times New Roman" w:hAnsi="Times New Roman" w:cs="Times New Roman"/>
                <w:sz w:val="24"/>
                <w:szCs w:val="24"/>
              </w:rPr>
              <w:t>Номинирани оператори на пазара на електроенергия</w:t>
            </w:r>
          </w:p>
        </w:tc>
      </w:tr>
      <w:tr w:rsidR="00AE0B66" w:rsidRPr="00B3374B" w14:paraId="30BE3CD7" w14:textId="77777777" w:rsidTr="00AE0B66">
        <w:trPr>
          <w:jc w:val="center"/>
        </w:trPr>
        <w:tc>
          <w:tcPr>
            <w:tcW w:w="1833" w:type="dxa"/>
            <w:vAlign w:val="center"/>
          </w:tcPr>
          <w:p w14:paraId="1A5EF686"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НПВУ</w:t>
            </w:r>
          </w:p>
        </w:tc>
        <w:tc>
          <w:tcPr>
            <w:tcW w:w="7455" w:type="dxa"/>
            <w:vAlign w:val="center"/>
          </w:tcPr>
          <w:p w14:paraId="4824397D" w14:textId="77777777" w:rsidR="00AE0B66" w:rsidRPr="00B3374B" w:rsidRDefault="00AE0B66" w:rsidP="006B329E">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Национал</w:t>
            </w:r>
            <w:r w:rsidR="006B329E">
              <w:rPr>
                <w:rFonts w:ascii="Times New Roman" w:eastAsia="Times New Roman" w:hAnsi="Times New Roman" w:cs="Times New Roman"/>
                <w:sz w:val="24"/>
                <w:szCs w:val="24"/>
                <w:lang w:eastAsia="bg-BG"/>
              </w:rPr>
              <w:t>е</w:t>
            </w:r>
            <w:r w:rsidRPr="00B3374B">
              <w:rPr>
                <w:rFonts w:ascii="Times New Roman" w:eastAsia="Times New Roman" w:hAnsi="Times New Roman" w:cs="Times New Roman"/>
                <w:sz w:val="24"/>
                <w:szCs w:val="24"/>
                <w:lang w:eastAsia="bg-BG"/>
              </w:rPr>
              <w:t>н план за възстановяване и устойчивост </w:t>
            </w:r>
          </w:p>
        </w:tc>
      </w:tr>
      <w:tr w:rsidR="00AE0B66" w:rsidRPr="00B3374B" w14:paraId="584A9A8E" w14:textId="77777777" w:rsidTr="00AE0B66">
        <w:trPr>
          <w:jc w:val="center"/>
        </w:trPr>
        <w:tc>
          <w:tcPr>
            <w:tcW w:w="1833" w:type="dxa"/>
            <w:vAlign w:val="center"/>
          </w:tcPr>
          <w:p w14:paraId="0D30C213" w14:textId="77777777" w:rsidR="00AE0B66" w:rsidRPr="00B3374B" w:rsidRDefault="00AE0B66" w:rsidP="00AE0B66">
            <w:pPr>
              <w:rPr>
                <w:rFonts w:ascii="Times New Roman" w:eastAsia="Times New Roman" w:hAnsi="Times New Roman" w:cs="Times New Roman"/>
                <w:b/>
                <w:color w:val="FF0000"/>
                <w:sz w:val="24"/>
                <w:szCs w:val="24"/>
                <w:lang w:eastAsia="bg-BG"/>
              </w:rPr>
            </w:pPr>
            <w:r w:rsidRPr="00B3374B">
              <w:rPr>
                <w:rFonts w:ascii="Times New Roman" w:hAnsi="Times New Roman" w:cs="Times New Roman"/>
                <w:b/>
                <w:sz w:val="24"/>
                <w:szCs w:val="24"/>
              </w:rPr>
              <w:t>НПВУ</w:t>
            </w:r>
          </w:p>
        </w:tc>
        <w:tc>
          <w:tcPr>
            <w:tcW w:w="7455" w:type="dxa"/>
            <w:vAlign w:val="center"/>
          </w:tcPr>
          <w:p w14:paraId="22920EB2" w14:textId="77777777" w:rsidR="00AE0B66" w:rsidRPr="00B3374B" w:rsidRDefault="00AE0B66" w:rsidP="00AE0B66">
            <w:pPr>
              <w:jc w:val="both"/>
              <w:rPr>
                <w:rFonts w:ascii="Times New Roman" w:eastAsia="Times New Roman" w:hAnsi="Times New Roman" w:cs="Times New Roman"/>
                <w:color w:val="FF0000"/>
                <w:sz w:val="24"/>
                <w:szCs w:val="24"/>
                <w:lang w:eastAsia="bg-BG"/>
              </w:rPr>
            </w:pPr>
            <w:r w:rsidRPr="00B3374B">
              <w:rPr>
                <w:rFonts w:ascii="Times New Roman" w:hAnsi="Times New Roman" w:cs="Times New Roman"/>
                <w:sz w:val="24"/>
                <w:szCs w:val="24"/>
              </w:rPr>
              <w:t>Национален план за възстановяване и устойчивост</w:t>
            </w:r>
          </w:p>
        </w:tc>
      </w:tr>
      <w:tr w:rsidR="00AE0B66" w:rsidRPr="00B3374B" w14:paraId="0E79ECDA" w14:textId="77777777" w:rsidTr="00AE0B66">
        <w:trPr>
          <w:jc w:val="center"/>
        </w:trPr>
        <w:tc>
          <w:tcPr>
            <w:tcW w:w="1833" w:type="dxa"/>
            <w:vAlign w:val="center"/>
          </w:tcPr>
          <w:p w14:paraId="411815E6" w14:textId="77777777" w:rsidR="00AE0B66" w:rsidRPr="00B3374B" w:rsidRDefault="00AE0B66" w:rsidP="00AE0B66">
            <w:pPr>
              <w:rPr>
                <w:rFonts w:ascii="Times New Roman" w:eastAsia="Times New Roman" w:hAnsi="Times New Roman" w:cs="Times New Roman"/>
                <w:b/>
                <w:bCs/>
                <w:sz w:val="24"/>
                <w:szCs w:val="24"/>
                <w:lang w:eastAsia="bg-BG"/>
              </w:rPr>
            </w:pPr>
            <w:r w:rsidRPr="00B3374B">
              <w:rPr>
                <w:rFonts w:ascii="Times New Roman" w:hAnsi="Times New Roman" w:cs="Times New Roman"/>
                <w:b/>
                <w:sz w:val="24"/>
                <w:szCs w:val="24"/>
              </w:rPr>
              <w:t>НПДЕВИ</w:t>
            </w:r>
          </w:p>
        </w:tc>
        <w:tc>
          <w:tcPr>
            <w:tcW w:w="7455" w:type="dxa"/>
            <w:vAlign w:val="center"/>
          </w:tcPr>
          <w:p w14:paraId="540CEA00" w14:textId="77777777" w:rsidR="00AE0B66" w:rsidRPr="00B3374B" w:rsidRDefault="00AE0B66" w:rsidP="00AE0B66">
            <w:pPr>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Национален плад за действие за енергия от възобновяеми източници</w:t>
            </w:r>
          </w:p>
        </w:tc>
      </w:tr>
      <w:tr w:rsidR="00AE0B66" w:rsidRPr="00B3374B" w14:paraId="052E9CD5" w14:textId="77777777" w:rsidTr="00AE0B66">
        <w:trPr>
          <w:jc w:val="center"/>
        </w:trPr>
        <w:tc>
          <w:tcPr>
            <w:tcW w:w="1833" w:type="dxa"/>
            <w:vAlign w:val="center"/>
          </w:tcPr>
          <w:p w14:paraId="76801B6B" w14:textId="77777777" w:rsidR="00AE0B66" w:rsidRPr="00B3374B" w:rsidRDefault="00AE0B66" w:rsidP="00AE0B66">
            <w:pPr>
              <w:rPr>
                <w:rFonts w:ascii="Times New Roman" w:hAnsi="Times New Roman" w:cs="Times New Roman"/>
                <w:b/>
                <w:color w:val="000000"/>
                <w:sz w:val="24"/>
                <w:szCs w:val="24"/>
              </w:rPr>
            </w:pPr>
            <w:r w:rsidRPr="00B3374B">
              <w:rPr>
                <w:rFonts w:ascii="Times New Roman" w:hAnsi="Times New Roman" w:cs="Times New Roman"/>
                <w:b/>
                <w:color w:val="000000"/>
                <w:sz w:val="24"/>
                <w:szCs w:val="24"/>
              </w:rPr>
              <w:t>НПЕЕМЖС</w:t>
            </w:r>
          </w:p>
        </w:tc>
        <w:tc>
          <w:tcPr>
            <w:tcW w:w="7455" w:type="dxa"/>
            <w:vAlign w:val="center"/>
          </w:tcPr>
          <w:p w14:paraId="2BA8C8DD" w14:textId="77777777" w:rsidR="00AE0B66" w:rsidRPr="00B3374B" w:rsidRDefault="00AE0B66" w:rsidP="00AE0B66">
            <w:pPr>
              <w:jc w:val="both"/>
              <w:rPr>
                <w:rFonts w:ascii="Times New Roman" w:hAnsi="Times New Roman" w:cs="Times New Roman"/>
                <w:color w:val="000000"/>
                <w:sz w:val="24"/>
                <w:szCs w:val="24"/>
              </w:rPr>
            </w:pPr>
            <w:r w:rsidRPr="00B3374B">
              <w:rPr>
                <w:rFonts w:ascii="Times New Roman" w:hAnsi="Times New Roman" w:cs="Times New Roman"/>
                <w:color w:val="000000"/>
                <w:sz w:val="24"/>
                <w:szCs w:val="24"/>
              </w:rPr>
              <w:t>Национална програма за енергийна ефективност на многофамилни жилищни сгради</w:t>
            </w:r>
          </w:p>
        </w:tc>
      </w:tr>
      <w:tr w:rsidR="00AE0B66" w:rsidRPr="00B3374B" w14:paraId="4671934E" w14:textId="77777777" w:rsidTr="00AE0B66">
        <w:trPr>
          <w:jc w:val="center"/>
        </w:trPr>
        <w:tc>
          <w:tcPr>
            <w:tcW w:w="1833" w:type="dxa"/>
            <w:vAlign w:val="center"/>
          </w:tcPr>
          <w:p w14:paraId="684342FC" w14:textId="77777777" w:rsidR="00AE0B66" w:rsidRPr="00B3374B" w:rsidRDefault="00AE0B66" w:rsidP="00AE0B66">
            <w:pPr>
              <w:rPr>
                <w:rFonts w:ascii="Times New Roman" w:hAnsi="Times New Roman" w:cs="Times New Roman"/>
                <w:b/>
                <w:color w:val="000000"/>
                <w:sz w:val="24"/>
                <w:szCs w:val="24"/>
                <w:lang w:val="en-US"/>
              </w:rPr>
            </w:pPr>
            <w:r w:rsidRPr="00B3374B">
              <w:rPr>
                <w:rFonts w:ascii="Times New Roman" w:hAnsi="Times New Roman" w:cs="Times New Roman"/>
                <w:b/>
                <w:color w:val="000000"/>
                <w:sz w:val="24"/>
                <w:szCs w:val="24"/>
              </w:rPr>
              <w:t>НПКНИ</w:t>
            </w:r>
          </w:p>
        </w:tc>
        <w:tc>
          <w:tcPr>
            <w:tcW w:w="7455" w:type="dxa"/>
            <w:vAlign w:val="center"/>
          </w:tcPr>
          <w:p w14:paraId="776DB2CE" w14:textId="77777777" w:rsidR="00AE0B66" w:rsidRPr="00B3374B" w:rsidRDefault="006B329E" w:rsidP="00AE0B66">
            <w:pPr>
              <w:jc w:val="both"/>
              <w:rPr>
                <w:rFonts w:ascii="Times New Roman" w:hAnsi="Times New Roman" w:cs="Times New Roman"/>
                <w:color w:val="000000"/>
                <w:sz w:val="24"/>
                <w:szCs w:val="24"/>
                <w:lang w:val="en-US"/>
              </w:rPr>
            </w:pPr>
            <w:r>
              <w:rPr>
                <w:rFonts w:ascii="Times New Roman" w:hAnsi="Times New Roman" w:cs="Times New Roman"/>
                <w:color w:val="000000"/>
                <w:sz w:val="24"/>
                <w:szCs w:val="24"/>
              </w:rPr>
              <w:t>Национална</w:t>
            </w:r>
            <w:r w:rsidR="00AE0B66" w:rsidRPr="00B3374B">
              <w:rPr>
                <w:rFonts w:ascii="Times New Roman" w:hAnsi="Times New Roman" w:cs="Times New Roman"/>
                <w:color w:val="000000"/>
                <w:sz w:val="24"/>
                <w:szCs w:val="24"/>
              </w:rPr>
              <w:t xml:space="preserve"> пътна карта за научна инфраструктура</w:t>
            </w:r>
          </w:p>
        </w:tc>
      </w:tr>
      <w:tr w:rsidR="00AE0B66" w:rsidRPr="00B3374B" w14:paraId="1889A494" w14:textId="77777777" w:rsidTr="00AE0B66">
        <w:trPr>
          <w:jc w:val="center"/>
        </w:trPr>
        <w:tc>
          <w:tcPr>
            <w:tcW w:w="1833" w:type="dxa"/>
            <w:vAlign w:val="center"/>
          </w:tcPr>
          <w:p w14:paraId="0E2CE497"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НСИ</w:t>
            </w:r>
          </w:p>
        </w:tc>
        <w:tc>
          <w:tcPr>
            <w:tcW w:w="7455" w:type="dxa"/>
            <w:vAlign w:val="center"/>
          </w:tcPr>
          <w:p w14:paraId="6B4A32BE"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Национален статистически институт</w:t>
            </w:r>
          </w:p>
        </w:tc>
      </w:tr>
      <w:tr w:rsidR="00AE0B66" w:rsidRPr="00B3374B" w14:paraId="42D4C946" w14:textId="77777777" w:rsidTr="00AE0B66">
        <w:trPr>
          <w:jc w:val="center"/>
        </w:trPr>
        <w:tc>
          <w:tcPr>
            <w:tcW w:w="1833" w:type="dxa"/>
            <w:vAlign w:val="center"/>
          </w:tcPr>
          <w:p w14:paraId="737B777D"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hAnsi="Times New Roman" w:cs="Times New Roman"/>
                <w:b/>
                <w:color w:val="000000"/>
                <w:sz w:val="24"/>
                <w:szCs w:val="24"/>
              </w:rPr>
              <w:t>НСРГСРБ</w:t>
            </w:r>
          </w:p>
        </w:tc>
        <w:tc>
          <w:tcPr>
            <w:tcW w:w="7455" w:type="dxa"/>
            <w:vAlign w:val="center"/>
          </w:tcPr>
          <w:p w14:paraId="62A3D950" w14:textId="77777777" w:rsidR="00AE0B66" w:rsidRPr="00B3374B" w:rsidRDefault="006B329E" w:rsidP="006B329E">
            <w:pPr>
              <w:jc w:val="both"/>
              <w:rPr>
                <w:rFonts w:ascii="Times New Roman" w:hAnsi="Times New Roman" w:cs="Times New Roman"/>
                <w:color w:val="000000"/>
                <w:sz w:val="24"/>
                <w:szCs w:val="24"/>
              </w:rPr>
            </w:pPr>
            <w:r>
              <w:rPr>
                <w:rFonts w:ascii="Times New Roman" w:hAnsi="Times New Roman" w:cs="Times New Roman"/>
                <w:color w:val="000000"/>
                <w:sz w:val="24"/>
                <w:szCs w:val="24"/>
              </w:rPr>
              <w:t>Национална</w:t>
            </w:r>
            <w:r w:rsidR="00AE0B66" w:rsidRPr="00B3374B">
              <w:rPr>
                <w:rFonts w:ascii="Times New Roman" w:hAnsi="Times New Roman" w:cs="Times New Roman"/>
                <w:color w:val="000000"/>
                <w:sz w:val="24"/>
                <w:szCs w:val="24"/>
              </w:rPr>
              <w:t xml:space="preserve"> стратегия за развитие на горския сектор в Република България</w:t>
            </w:r>
          </w:p>
        </w:tc>
      </w:tr>
      <w:tr w:rsidR="00AE0B66" w:rsidRPr="00B3374B" w14:paraId="5AE0DEAB" w14:textId="77777777" w:rsidTr="00AE0B66">
        <w:trPr>
          <w:jc w:val="center"/>
        </w:trPr>
        <w:tc>
          <w:tcPr>
            <w:tcW w:w="1833" w:type="dxa"/>
            <w:vAlign w:val="center"/>
          </w:tcPr>
          <w:p w14:paraId="783A5BE4" w14:textId="77777777" w:rsidR="00AE0B66" w:rsidRPr="00B3374B" w:rsidRDefault="00AE0B66" w:rsidP="00AE0B66">
            <w:pPr>
              <w:rPr>
                <w:rFonts w:ascii="Times New Roman" w:hAnsi="Times New Roman" w:cs="Times New Roman"/>
                <w:b/>
                <w:sz w:val="24"/>
                <w:szCs w:val="24"/>
              </w:rPr>
            </w:pPr>
            <w:r w:rsidRPr="00B3374B">
              <w:rPr>
                <w:rFonts w:ascii="Times New Roman" w:hAnsi="Times New Roman" w:cs="Times New Roman"/>
                <w:b/>
                <w:color w:val="000000"/>
                <w:sz w:val="24"/>
                <w:szCs w:val="24"/>
              </w:rPr>
              <w:t>НССЗ</w:t>
            </w:r>
          </w:p>
        </w:tc>
        <w:tc>
          <w:tcPr>
            <w:tcW w:w="7455" w:type="dxa"/>
            <w:vAlign w:val="center"/>
          </w:tcPr>
          <w:p w14:paraId="71E43562" w14:textId="77777777" w:rsidR="00AE0B66" w:rsidRPr="00B3374B" w:rsidRDefault="00AE0B66" w:rsidP="00AE0B66">
            <w:pPr>
              <w:jc w:val="both"/>
              <w:rPr>
                <w:rFonts w:ascii="Times New Roman" w:hAnsi="Times New Roman" w:cs="Times New Roman"/>
                <w:sz w:val="24"/>
                <w:szCs w:val="24"/>
              </w:rPr>
            </w:pPr>
            <w:r w:rsidRPr="00B3374B">
              <w:rPr>
                <w:rFonts w:ascii="Times New Roman" w:hAnsi="Times New Roman" w:cs="Times New Roman"/>
                <w:color w:val="000000"/>
                <w:sz w:val="24"/>
                <w:szCs w:val="24"/>
              </w:rPr>
              <w:t>Национална служба за съвети в земеделието</w:t>
            </w:r>
          </w:p>
        </w:tc>
      </w:tr>
      <w:tr w:rsidR="00AE0B66" w:rsidRPr="00B3374B" w14:paraId="4A9F7872" w14:textId="77777777" w:rsidTr="00AE0B66">
        <w:trPr>
          <w:jc w:val="center"/>
        </w:trPr>
        <w:tc>
          <w:tcPr>
            <w:tcW w:w="1833" w:type="dxa"/>
            <w:vAlign w:val="center"/>
          </w:tcPr>
          <w:p w14:paraId="7FCB3FE0" w14:textId="77777777" w:rsidR="00AE0B66" w:rsidRPr="00B3374B" w:rsidRDefault="00AE0B66" w:rsidP="00AE0B66">
            <w:pPr>
              <w:rPr>
                <w:rFonts w:ascii="Times New Roman" w:hAnsi="Times New Roman" w:cs="Times New Roman"/>
                <w:b/>
                <w:color w:val="000000"/>
                <w:sz w:val="24"/>
                <w:szCs w:val="24"/>
                <w:lang w:val="en-US"/>
              </w:rPr>
            </w:pPr>
            <w:r w:rsidRPr="00B3374B">
              <w:rPr>
                <w:rFonts w:ascii="Times New Roman" w:hAnsi="Times New Roman" w:cs="Times New Roman"/>
                <w:b/>
                <w:color w:val="000000"/>
                <w:sz w:val="24"/>
                <w:szCs w:val="24"/>
              </w:rPr>
              <w:t>ОПИК</w:t>
            </w:r>
          </w:p>
        </w:tc>
        <w:tc>
          <w:tcPr>
            <w:tcW w:w="7455" w:type="dxa"/>
            <w:vAlign w:val="center"/>
          </w:tcPr>
          <w:p w14:paraId="335E7AF3" w14:textId="77777777" w:rsidR="00AE0B66" w:rsidRPr="00B3374B" w:rsidRDefault="00AE0B66" w:rsidP="00AE0B66">
            <w:pPr>
              <w:jc w:val="both"/>
              <w:rPr>
                <w:rFonts w:ascii="Times New Roman" w:hAnsi="Times New Roman" w:cs="Times New Roman"/>
                <w:color w:val="000000"/>
                <w:sz w:val="24"/>
                <w:szCs w:val="24"/>
              </w:rPr>
            </w:pPr>
            <w:r w:rsidRPr="00B3374B">
              <w:rPr>
                <w:rFonts w:ascii="Times New Roman" w:hAnsi="Times New Roman" w:cs="Times New Roman"/>
                <w:color w:val="000000"/>
                <w:sz w:val="24"/>
                <w:szCs w:val="24"/>
              </w:rPr>
              <w:t>Оперативна програма „Иновации и конкурентоспособност“</w:t>
            </w:r>
          </w:p>
        </w:tc>
      </w:tr>
      <w:tr w:rsidR="00AE0B66" w:rsidRPr="00B3374B" w14:paraId="014089E5" w14:textId="77777777" w:rsidTr="00AE0B66">
        <w:trPr>
          <w:jc w:val="center"/>
        </w:trPr>
        <w:tc>
          <w:tcPr>
            <w:tcW w:w="1833" w:type="dxa"/>
            <w:vAlign w:val="center"/>
          </w:tcPr>
          <w:p w14:paraId="62DC81C8" w14:textId="77777777" w:rsidR="00AE0B66" w:rsidRPr="00B3374B" w:rsidRDefault="00AE0B66" w:rsidP="00AE0B66">
            <w:pPr>
              <w:rPr>
                <w:rFonts w:ascii="Times New Roman" w:hAnsi="Times New Roman" w:cs="Times New Roman"/>
                <w:b/>
                <w:sz w:val="24"/>
                <w:szCs w:val="24"/>
              </w:rPr>
            </w:pPr>
            <w:r w:rsidRPr="00B3374B">
              <w:rPr>
                <w:rFonts w:ascii="Times New Roman" w:hAnsi="Times New Roman" w:cs="Times New Roman"/>
                <w:b/>
                <w:sz w:val="24"/>
                <w:szCs w:val="24"/>
                <w:lang w:val="en-US"/>
              </w:rPr>
              <w:t>ОПНОИР</w:t>
            </w:r>
          </w:p>
        </w:tc>
        <w:tc>
          <w:tcPr>
            <w:tcW w:w="7455" w:type="dxa"/>
            <w:vAlign w:val="center"/>
          </w:tcPr>
          <w:p w14:paraId="406BC3BA" w14:textId="77777777" w:rsidR="00AE0B66" w:rsidRPr="00B3374B" w:rsidRDefault="00AE0B66" w:rsidP="00AE0B66">
            <w:pPr>
              <w:jc w:val="both"/>
              <w:rPr>
                <w:rFonts w:ascii="Times New Roman" w:hAnsi="Times New Roman" w:cs="Times New Roman"/>
                <w:sz w:val="24"/>
                <w:szCs w:val="24"/>
              </w:rPr>
            </w:pPr>
            <w:r w:rsidRPr="00B3374B">
              <w:rPr>
                <w:rFonts w:ascii="Times New Roman" w:hAnsi="Times New Roman" w:cs="Times New Roman"/>
                <w:sz w:val="24"/>
                <w:szCs w:val="24"/>
                <w:lang w:val="en-US"/>
              </w:rPr>
              <w:t>Оперативна програма „Наука и образование за интелигентен растеж“</w:t>
            </w:r>
          </w:p>
        </w:tc>
      </w:tr>
      <w:tr w:rsidR="00AE0B66" w:rsidRPr="00B3374B" w14:paraId="20DDDF84" w14:textId="77777777" w:rsidTr="00AE0B66">
        <w:trPr>
          <w:jc w:val="center"/>
        </w:trPr>
        <w:tc>
          <w:tcPr>
            <w:tcW w:w="1833" w:type="dxa"/>
            <w:vAlign w:val="center"/>
          </w:tcPr>
          <w:p w14:paraId="23F6C912" w14:textId="77777777" w:rsidR="00AE0B66" w:rsidRPr="00B3374B" w:rsidRDefault="00AE0B66" w:rsidP="00AE0B66">
            <w:pPr>
              <w:rPr>
                <w:rFonts w:ascii="Times New Roman" w:hAnsi="Times New Roman" w:cs="Times New Roman"/>
                <w:b/>
                <w:sz w:val="24"/>
                <w:szCs w:val="24"/>
              </w:rPr>
            </w:pPr>
            <w:r w:rsidRPr="00B3374B">
              <w:rPr>
                <w:rFonts w:ascii="Times New Roman" w:hAnsi="Times New Roman" w:cs="Times New Roman"/>
                <w:b/>
                <w:sz w:val="24"/>
                <w:szCs w:val="24"/>
              </w:rPr>
              <w:t>ОПС</w:t>
            </w:r>
          </w:p>
        </w:tc>
        <w:tc>
          <w:tcPr>
            <w:tcW w:w="7455" w:type="dxa"/>
            <w:vAlign w:val="center"/>
          </w:tcPr>
          <w:p w14:paraId="4D8C77D4" w14:textId="77777777" w:rsidR="00AE0B66" w:rsidRPr="00B3374B" w:rsidRDefault="006B329E" w:rsidP="00AE0B66">
            <w:pPr>
              <w:jc w:val="both"/>
              <w:rPr>
                <w:rFonts w:ascii="Times New Roman" w:hAnsi="Times New Roman" w:cs="Times New Roman"/>
                <w:sz w:val="24"/>
                <w:szCs w:val="24"/>
              </w:rPr>
            </w:pPr>
            <w:r>
              <w:rPr>
                <w:rFonts w:ascii="Times New Roman" w:hAnsi="Times New Roman" w:cs="Times New Roman"/>
                <w:sz w:val="24"/>
                <w:szCs w:val="24"/>
              </w:rPr>
              <w:t>Операт</w:t>
            </w:r>
            <w:r w:rsidR="00AE0B66" w:rsidRPr="00B3374B">
              <w:rPr>
                <w:rFonts w:ascii="Times New Roman" w:hAnsi="Times New Roman" w:cs="Times New Roman"/>
                <w:sz w:val="24"/>
                <w:szCs w:val="24"/>
              </w:rPr>
              <w:t>ори на газопреносвни мережи</w:t>
            </w:r>
          </w:p>
        </w:tc>
      </w:tr>
      <w:tr w:rsidR="00AE0B66" w:rsidRPr="00B3374B" w14:paraId="105B7136" w14:textId="77777777" w:rsidTr="00AE0B66">
        <w:trPr>
          <w:jc w:val="center"/>
        </w:trPr>
        <w:tc>
          <w:tcPr>
            <w:tcW w:w="1833" w:type="dxa"/>
            <w:vAlign w:val="center"/>
          </w:tcPr>
          <w:p w14:paraId="7AD47E80" w14:textId="77777777" w:rsidR="00AE0B66" w:rsidRPr="00B3374B" w:rsidRDefault="00AE0B66" w:rsidP="00AE0B66">
            <w:pPr>
              <w:rPr>
                <w:rFonts w:ascii="Times New Roman" w:hAnsi="Times New Roman" w:cs="Times New Roman"/>
                <w:b/>
                <w:sz w:val="24"/>
                <w:szCs w:val="24"/>
              </w:rPr>
            </w:pPr>
            <w:r w:rsidRPr="00B3374B">
              <w:rPr>
                <w:rFonts w:ascii="Times New Roman" w:hAnsi="Times New Roman" w:cs="Times New Roman"/>
                <w:b/>
                <w:sz w:val="24"/>
                <w:szCs w:val="24"/>
              </w:rPr>
              <w:t>ОСП</w:t>
            </w:r>
          </w:p>
        </w:tc>
        <w:tc>
          <w:tcPr>
            <w:tcW w:w="7455" w:type="dxa"/>
            <w:vAlign w:val="center"/>
          </w:tcPr>
          <w:p w14:paraId="4505F381" w14:textId="77777777" w:rsidR="00AE0B66" w:rsidRPr="00B3374B" w:rsidRDefault="00AE0B66" w:rsidP="00AE0B66">
            <w:pPr>
              <w:jc w:val="both"/>
              <w:rPr>
                <w:rFonts w:ascii="Times New Roman" w:hAnsi="Times New Roman" w:cs="Times New Roman"/>
                <w:sz w:val="24"/>
                <w:szCs w:val="24"/>
              </w:rPr>
            </w:pPr>
            <w:r w:rsidRPr="00B3374B">
              <w:rPr>
                <w:rFonts w:ascii="Times New Roman" w:hAnsi="Times New Roman" w:cs="Times New Roman"/>
                <w:sz w:val="24"/>
                <w:szCs w:val="24"/>
              </w:rPr>
              <w:t>Обща селскостопанска политика</w:t>
            </w:r>
          </w:p>
        </w:tc>
      </w:tr>
      <w:tr w:rsidR="00AE0B66" w:rsidRPr="00B3374B" w14:paraId="49645BF3" w14:textId="77777777" w:rsidTr="00AE0B66">
        <w:trPr>
          <w:jc w:val="center"/>
        </w:trPr>
        <w:tc>
          <w:tcPr>
            <w:tcW w:w="1833" w:type="dxa"/>
            <w:vAlign w:val="center"/>
          </w:tcPr>
          <w:p w14:paraId="1F12D3D3"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ПГ</w:t>
            </w:r>
          </w:p>
        </w:tc>
        <w:tc>
          <w:tcPr>
            <w:tcW w:w="7455" w:type="dxa"/>
            <w:vAlign w:val="center"/>
          </w:tcPr>
          <w:p w14:paraId="305509C3"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Парникови газове</w:t>
            </w:r>
          </w:p>
        </w:tc>
      </w:tr>
      <w:tr w:rsidR="00AE0B66" w:rsidRPr="00B3374B" w14:paraId="520ABD8E" w14:textId="77777777" w:rsidTr="00AE0B66">
        <w:trPr>
          <w:jc w:val="center"/>
        </w:trPr>
        <w:tc>
          <w:tcPr>
            <w:tcW w:w="1833" w:type="dxa"/>
            <w:vAlign w:val="center"/>
          </w:tcPr>
          <w:p w14:paraId="2A285883" w14:textId="77777777" w:rsidR="00AE0B66" w:rsidRPr="00B3374B" w:rsidRDefault="00AE0B66" w:rsidP="00AE0B66">
            <w:pPr>
              <w:rPr>
                <w:rFonts w:ascii="Times New Roman" w:hAnsi="Times New Roman" w:cs="Times New Roman"/>
                <w:b/>
                <w:sz w:val="24"/>
                <w:szCs w:val="24"/>
              </w:rPr>
            </w:pPr>
            <w:r w:rsidRPr="00B3374B">
              <w:rPr>
                <w:rFonts w:ascii="Times New Roman" w:hAnsi="Times New Roman" w:cs="Times New Roman"/>
                <w:b/>
                <w:sz w:val="24"/>
                <w:szCs w:val="24"/>
                <w:lang w:val="en-US"/>
              </w:rPr>
              <w:t>ПИРО</w:t>
            </w:r>
          </w:p>
        </w:tc>
        <w:tc>
          <w:tcPr>
            <w:tcW w:w="7455" w:type="dxa"/>
            <w:vAlign w:val="center"/>
          </w:tcPr>
          <w:p w14:paraId="68D86E42" w14:textId="77777777" w:rsidR="00AE0B66" w:rsidRPr="00B3374B" w:rsidRDefault="00AE0B66" w:rsidP="00AE0B66">
            <w:pPr>
              <w:jc w:val="both"/>
              <w:rPr>
                <w:rFonts w:ascii="Times New Roman" w:hAnsi="Times New Roman" w:cs="Times New Roman"/>
                <w:sz w:val="24"/>
                <w:szCs w:val="24"/>
              </w:rPr>
            </w:pPr>
            <w:r w:rsidRPr="00B3374B">
              <w:rPr>
                <w:rFonts w:ascii="Times New Roman" w:hAnsi="Times New Roman" w:cs="Times New Roman"/>
                <w:sz w:val="24"/>
                <w:szCs w:val="24"/>
              </w:rPr>
              <w:t xml:space="preserve">Плановете за </w:t>
            </w:r>
            <w:r w:rsidRPr="00B3374B">
              <w:rPr>
                <w:rFonts w:ascii="Times New Roman" w:hAnsi="Times New Roman" w:cs="Times New Roman"/>
                <w:sz w:val="24"/>
                <w:szCs w:val="24"/>
                <w:lang w:val="en-US"/>
              </w:rPr>
              <w:t>интегрирано развитие на общините</w:t>
            </w:r>
          </w:p>
        </w:tc>
      </w:tr>
      <w:tr w:rsidR="00AE0B66" w:rsidRPr="00B3374B" w14:paraId="7AE1C10A" w14:textId="77777777" w:rsidTr="00AE0B66">
        <w:trPr>
          <w:jc w:val="center"/>
        </w:trPr>
        <w:tc>
          <w:tcPr>
            <w:tcW w:w="1833" w:type="dxa"/>
            <w:vAlign w:val="center"/>
          </w:tcPr>
          <w:p w14:paraId="0116D9CA" w14:textId="77777777" w:rsidR="00AE0B66" w:rsidRPr="00B3374B" w:rsidRDefault="00AE0B66" w:rsidP="00AE0B66">
            <w:pPr>
              <w:rPr>
                <w:rFonts w:ascii="Times New Roman" w:hAnsi="Times New Roman" w:cs="Times New Roman"/>
                <w:b/>
                <w:color w:val="000000"/>
                <w:sz w:val="24"/>
                <w:szCs w:val="24"/>
                <w:lang w:val="en-US"/>
              </w:rPr>
            </w:pPr>
            <w:r w:rsidRPr="00B3374B">
              <w:rPr>
                <w:rFonts w:ascii="Times New Roman" w:hAnsi="Times New Roman" w:cs="Times New Roman"/>
                <w:b/>
                <w:color w:val="000000"/>
                <w:sz w:val="24"/>
                <w:szCs w:val="24"/>
              </w:rPr>
              <w:t>ПИТ на НПВУ</w:t>
            </w:r>
          </w:p>
        </w:tc>
        <w:tc>
          <w:tcPr>
            <w:tcW w:w="7455" w:type="dxa"/>
            <w:vAlign w:val="center"/>
          </w:tcPr>
          <w:p w14:paraId="64ADCEC1" w14:textId="77777777" w:rsidR="00AE0B66" w:rsidRPr="00B3374B" w:rsidRDefault="00AE0B66" w:rsidP="00AE0B66">
            <w:pPr>
              <w:jc w:val="both"/>
              <w:rPr>
                <w:rFonts w:ascii="Times New Roman" w:hAnsi="Times New Roman" w:cs="Times New Roman"/>
                <w:color w:val="000000"/>
                <w:sz w:val="24"/>
                <w:szCs w:val="24"/>
              </w:rPr>
            </w:pPr>
            <w:r w:rsidRPr="00B3374B">
              <w:rPr>
                <w:rFonts w:ascii="Times New Roman" w:hAnsi="Times New Roman" w:cs="Times New Roman"/>
                <w:color w:val="000000"/>
                <w:sz w:val="24"/>
                <w:szCs w:val="24"/>
              </w:rPr>
              <w:t>Програма за икономическа трансформация</w:t>
            </w:r>
            <w:r w:rsidRPr="00B3374B">
              <w:rPr>
                <w:rFonts w:ascii="Times New Roman" w:hAnsi="Times New Roman" w:cs="Times New Roman"/>
                <w:bCs/>
                <w:color w:val="000000"/>
                <w:sz w:val="24"/>
                <w:szCs w:val="24"/>
              </w:rPr>
              <w:t xml:space="preserve"> от Националния план за възстановяване и устойчивост</w:t>
            </w:r>
          </w:p>
        </w:tc>
      </w:tr>
      <w:tr w:rsidR="00AE0B66" w:rsidRPr="00B3374B" w14:paraId="413204C0" w14:textId="77777777" w:rsidTr="00AE0B66">
        <w:trPr>
          <w:jc w:val="center"/>
        </w:trPr>
        <w:tc>
          <w:tcPr>
            <w:tcW w:w="1833" w:type="dxa"/>
            <w:vAlign w:val="center"/>
          </w:tcPr>
          <w:p w14:paraId="41B79CC3" w14:textId="77777777" w:rsidR="00AE0B66" w:rsidRPr="00B3374B" w:rsidRDefault="00AE0B66" w:rsidP="00AE0B66">
            <w:pPr>
              <w:rPr>
                <w:rFonts w:ascii="Times New Roman" w:hAnsi="Times New Roman" w:cs="Times New Roman"/>
                <w:b/>
                <w:sz w:val="24"/>
                <w:szCs w:val="24"/>
              </w:rPr>
            </w:pPr>
            <w:r w:rsidRPr="00B3374B">
              <w:rPr>
                <w:rFonts w:ascii="Times New Roman" w:hAnsi="Times New Roman" w:cs="Times New Roman"/>
                <w:b/>
                <w:color w:val="000000"/>
                <w:sz w:val="24"/>
                <w:szCs w:val="24"/>
              </w:rPr>
              <w:t>ПКИП</w:t>
            </w:r>
          </w:p>
        </w:tc>
        <w:tc>
          <w:tcPr>
            <w:tcW w:w="7455" w:type="dxa"/>
            <w:vAlign w:val="center"/>
          </w:tcPr>
          <w:p w14:paraId="3C05AFB2" w14:textId="77777777" w:rsidR="00AE0B66" w:rsidRPr="00B3374B" w:rsidRDefault="00AE0B66" w:rsidP="00AE0B66">
            <w:pPr>
              <w:shd w:val="clear" w:color="auto" w:fill="F8F8F9"/>
              <w:outlineLvl w:val="0"/>
              <w:rPr>
                <w:rFonts w:ascii="Times New Roman" w:hAnsi="Times New Roman" w:cs="Times New Roman"/>
                <w:sz w:val="24"/>
                <w:szCs w:val="24"/>
              </w:rPr>
            </w:pPr>
            <w:r w:rsidRPr="00B3374B">
              <w:rPr>
                <w:rFonts w:ascii="Times New Roman" w:hAnsi="Times New Roman" w:cs="Times New Roman"/>
                <w:color w:val="000000"/>
                <w:sz w:val="24"/>
                <w:szCs w:val="24"/>
              </w:rPr>
              <w:t>Програма „Конкурентоспособност и иновации в предприятията“</w:t>
            </w:r>
          </w:p>
        </w:tc>
      </w:tr>
      <w:tr w:rsidR="00AE0B66" w:rsidRPr="00B3374B" w14:paraId="3FD4BAF4" w14:textId="77777777" w:rsidTr="00AE0B66">
        <w:trPr>
          <w:jc w:val="center"/>
        </w:trPr>
        <w:tc>
          <w:tcPr>
            <w:tcW w:w="1833" w:type="dxa"/>
            <w:vAlign w:val="center"/>
          </w:tcPr>
          <w:p w14:paraId="36ECFF5C" w14:textId="77777777" w:rsidR="00AE0B66" w:rsidRPr="00B3374B" w:rsidRDefault="00AE0B66" w:rsidP="00AE0B66">
            <w:pPr>
              <w:rPr>
                <w:rFonts w:ascii="Times New Roman" w:hAnsi="Times New Roman" w:cs="Times New Roman"/>
                <w:b/>
                <w:sz w:val="24"/>
                <w:szCs w:val="24"/>
              </w:rPr>
            </w:pPr>
            <w:r w:rsidRPr="00B3374B">
              <w:rPr>
                <w:rFonts w:ascii="Times New Roman" w:hAnsi="Times New Roman" w:cs="Times New Roman"/>
                <w:b/>
                <w:sz w:val="24"/>
                <w:szCs w:val="24"/>
              </w:rPr>
              <w:t>ПНИИДИТ</w:t>
            </w:r>
          </w:p>
        </w:tc>
        <w:tc>
          <w:tcPr>
            <w:tcW w:w="7455" w:type="dxa"/>
            <w:vAlign w:val="center"/>
          </w:tcPr>
          <w:p w14:paraId="3D0D3C72" w14:textId="77777777" w:rsidR="00AE0B66" w:rsidRPr="00B3374B" w:rsidRDefault="00AE0B66" w:rsidP="00AE0B66">
            <w:pPr>
              <w:shd w:val="clear" w:color="auto" w:fill="F8F8F9"/>
              <w:outlineLvl w:val="0"/>
              <w:rPr>
                <w:rFonts w:ascii="Times New Roman" w:hAnsi="Times New Roman" w:cs="Times New Roman"/>
                <w:sz w:val="24"/>
                <w:szCs w:val="24"/>
              </w:rPr>
            </w:pPr>
            <w:r w:rsidRPr="00DB5DE0">
              <w:rPr>
                <w:rFonts w:ascii="Times New Roman" w:hAnsi="Times New Roman" w:cs="Times New Roman"/>
                <w:sz w:val="24"/>
                <w:szCs w:val="24"/>
              </w:rPr>
              <w:t>Програма Научни изследвания, иновации и дигитализация за интелигентна трансформация</w:t>
            </w:r>
          </w:p>
        </w:tc>
      </w:tr>
      <w:tr w:rsidR="00AE0B66" w:rsidRPr="00B3374B" w14:paraId="1D016B10" w14:textId="77777777" w:rsidTr="00AE0B66">
        <w:trPr>
          <w:jc w:val="center"/>
        </w:trPr>
        <w:tc>
          <w:tcPr>
            <w:tcW w:w="1833" w:type="dxa"/>
            <w:vAlign w:val="center"/>
          </w:tcPr>
          <w:p w14:paraId="5F14FECD"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hAnsi="Times New Roman" w:cs="Times New Roman"/>
                <w:b/>
                <w:iCs/>
                <w:sz w:val="24"/>
                <w:szCs w:val="24"/>
              </w:rPr>
              <w:t>ПОИ</w:t>
            </w:r>
          </w:p>
        </w:tc>
        <w:tc>
          <w:tcPr>
            <w:tcW w:w="7455" w:type="dxa"/>
            <w:vAlign w:val="center"/>
          </w:tcPr>
          <w:p w14:paraId="437FE859" w14:textId="77777777" w:rsidR="00AE0B66" w:rsidRPr="00B3374B" w:rsidRDefault="00AE0B66" w:rsidP="00AE0B66">
            <w:pPr>
              <w:autoSpaceDE w:val="0"/>
              <w:autoSpaceDN w:val="0"/>
              <w:adjustRightInd w:val="0"/>
              <w:spacing w:line="276" w:lineRule="auto"/>
              <w:jc w:val="both"/>
              <w:rPr>
                <w:rFonts w:ascii="Times New Roman" w:hAnsi="Times New Roman" w:cs="Times New Roman"/>
                <w:sz w:val="24"/>
                <w:szCs w:val="24"/>
              </w:rPr>
            </w:pPr>
            <w:r w:rsidRPr="00B3374B">
              <w:rPr>
                <w:rFonts w:ascii="Times New Roman" w:hAnsi="Times New Roman" w:cs="Times New Roman"/>
                <w:iCs/>
                <w:sz w:val="24"/>
                <w:szCs w:val="24"/>
              </w:rPr>
              <w:t xml:space="preserve">Проекти от общ интерес </w:t>
            </w:r>
          </w:p>
        </w:tc>
      </w:tr>
      <w:tr w:rsidR="00AE0B66" w:rsidRPr="00B3374B" w14:paraId="683020F9" w14:textId="77777777" w:rsidTr="00AE0B66">
        <w:trPr>
          <w:jc w:val="center"/>
        </w:trPr>
        <w:tc>
          <w:tcPr>
            <w:tcW w:w="1833" w:type="dxa"/>
            <w:vAlign w:val="center"/>
          </w:tcPr>
          <w:p w14:paraId="5A74F849"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hAnsi="Times New Roman" w:cs="Times New Roman"/>
                <w:b/>
                <w:color w:val="000000"/>
                <w:sz w:val="24"/>
                <w:szCs w:val="24"/>
              </w:rPr>
              <w:t>ПОО</w:t>
            </w:r>
          </w:p>
        </w:tc>
        <w:tc>
          <w:tcPr>
            <w:tcW w:w="7455" w:type="dxa"/>
            <w:vAlign w:val="center"/>
          </w:tcPr>
          <w:p w14:paraId="5466008E"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hAnsi="Times New Roman" w:cs="Times New Roman"/>
                <w:color w:val="000000"/>
                <w:sz w:val="24"/>
                <w:szCs w:val="24"/>
              </w:rPr>
              <w:t>Предотвратяване на образуването на отпадъци</w:t>
            </w:r>
          </w:p>
        </w:tc>
      </w:tr>
      <w:tr w:rsidR="00AE0B66" w:rsidRPr="00B3374B" w14:paraId="0E482984" w14:textId="77777777" w:rsidTr="00AE0B66">
        <w:trPr>
          <w:jc w:val="center"/>
        </w:trPr>
        <w:tc>
          <w:tcPr>
            <w:tcW w:w="1833" w:type="dxa"/>
            <w:vAlign w:val="center"/>
          </w:tcPr>
          <w:p w14:paraId="196DE50C" w14:textId="77777777" w:rsidR="00AE0B66" w:rsidRPr="00B3374B" w:rsidRDefault="00AE0B66" w:rsidP="00AE0B66">
            <w:pPr>
              <w:rPr>
                <w:rFonts w:ascii="Times New Roman" w:hAnsi="Times New Roman" w:cs="Times New Roman"/>
                <w:b/>
                <w:color w:val="000000"/>
                <w:sz w:val="24"/>
                <w:szCs w:val="24"/>
              </w:rPr>
            </w:pPr>
            <w:r w:rsidRPr="00B3374B">
              <w:rPr>
                <w:rFonts w:ascii="Times New Roman" w:hAnsi="Times New Roman" w:cs="Times New Roman"/>
                <w:b/>
                <w:color w:val="000000"/>
                <w:sz w:val="24"/>
                <w:szCs w:val="24"/>
              </w:rPr>
              <w:t>ПРР</w:t>
            </w:r>
          </w:p>
        </w:tc>
        <w:tc>
          <w:tcPr>
            <w:tcW w:w="7455" w:type="dxa"/>
            <w:vAlign w:val="center"/>
          </w:tcPr>
          <w:p w14:paraId="27F8C91D" w14:textId="77777777" w:rsidR="00AE0B66" w:rsidRPr="00B3374B" w:rsidRDefault="00AE0B66" w:rsidP="00AE0B66">
            <w:pPr>
              <w:shd w:val="clear" w:color="auto" w:fill="F8F8F9"/>
              <w:spacing w:after="84"/>
              <w:outlineLvl w:val="0"/>
              <w:rPr>
                <w:rFonts w:ascii="Times New Roman" w:hAnsi="Times New Roman" w:cs="Times New Roman"/>
                <w:color w:val="000000"/>
                <w:sz w:val="24"/>
                <w:szCs w:val="24"/>
              </w:rPr>
            </w:pPr>
            <w:r w:rsidRPr="00B3374B">
              <w:rPr>
                <w:rFonts w:ascii="Times New Roman" w:hAnsi="Times New Roman" w:cs="Times New Roman"/>
                <w:color w:val="000000"/>
                <w:sz w:val="24"/>
                <w:szCs w:val="24"/>
              </w:rPr>
              <w:t>Програма „Развитие на регионите“</w:t>
            </w:r>
          </w:p>
        </w:tc>
      </w:tr>
      <w:tr w:rsidR="00AE0B66" w:rsidRPr="00B3374B" w14:paraId="4AD35AF7" w14:textId="77777777" w:rsidTr="00AE0B66">
        <w:trPr>
          <w:jc w:val="center"/>
        </w:trPr>
        <w:tc>
          <w:tcPr>
            <w:tcW w:w="1833" w:type="dxa"/>
            <w:vAlign w:val="center"/>
          </w:tcPr>
          <w:p w14:paraId="016D677A" w14:textId="77777777" w:rsidR="00AE0B66" w:rsidRPr="00B3374B" w:rsidRDefault="00AE0B66" w:rsidP="00AE0B66">
            <w:pPr>
              <w:rPr>
                <w:rFonts w:ascii="Times New Roman" w:hAnsi="Times New Roman" w:cs="Times New Roman"/>
                <w:b/>
                <w:color w:val="000000"/>
                <w:sz w:val="24"/>
                <w:szCs w:val="24"/>
              </w:rPr>
            </w:pPr>
            <w:r w:rsidRPr="00B3374B">
              <w:rPr>
                <w:rFonts w:ascii="Times New Roman" w:hAnsi="Times New Roman" w:cs="Times New Roman"/>
                <w:b/>
                <w:color w:val="000000"/>
                <w:sz w:val="24"/>
                <w:szCs w:val="24"/>
              </w:rPr>
              <w:t>ПТС</w:t>
            </w:r>
          </w:p>
        </w:tc>
        <w:tc>
          <w:tcPr>
            <w:tcW w:w="7455" w:type="dxa"/>
            <w:vAlign w:val="center"/>
          </w:tcPr>
          <w:p w14:paraId="5D27617A" w14:textId="77777777" w:rsidR="00AE0B66" w:rsidRPr="00B3374B" w:rsidRDefault="00AE0B66" w:rsidP="00AE0B66">
            <w:pPr>
              <w:shd w:val="clear" w:color="auto" w:fill="F8F8F9"/>
              <w:spacing w:after="84"/>
              <w:outlineLvl w:val="0"/>
              <w:rPr>
                <w:rFonts w:ascii="Times New Roman" w:hAnsi="Times New Roman" w:cs="Times New Roman"/>
                <w:color w:val="000000"/>
                <w:sz w:val="24"/>
                <w:szCs w:val="24"/>
              </w:rPr>
            </w:pPr>
            <w:r w:rsidRPr="00B3374B">
              <w:rPr>
                <w:rFonts w:ascii="Times New Roman" w:hAnsi="Times New Roman" w:cs="Times New Roman"/>
                <w:color w:val="000000"/>
                <w:sz w:val="24"/>
                <w:szCs w:val="24"/>
              </w:rPr>
              <w:t>Програма „Транспортна свързаност“</w:t>
            </w:r>
          </w:p>
        </w:tc>
      </w:tr>
      <w:tr w:rsidR="00AE0B66" w:rsidRPr="00B3374B" w14:paraId="78D4DD50" w14:textId="77777777" w:rsidTr="00AE0B66">
        <w:trPr>
          <w:jc w:val="center"/>
        </w:trPr>
        <w:tc>
          <w:tcPr>
            <w:tcW w:w="1833" w:type="dxa"/>
            <w:vAlign w:val="center"/>
          </w:tcPr>
          <w:p w14:paraId="29558C46"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ПУРБ</w:t>
            </w:r>
          </w:p>
        </w:tc>
        <w:tc>
          <w:tcPr>
            <w:tcW w:w="7455" w:type="dxa"/>
            <w:vAlign w:val="center"/>
          </w:tcPr>
          <w:p w14:paraId="51F32B67"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План за управление на речните басейни</w:t>
            </w:r>
          </w:p>
        </w:tc>
      </w:tr>
      <w:tr w:rsidR="00AE0B66" w:rsidRPr="00B3374B" w14:paraId="2CA99749" w14:textId="77777777" w:rsidTr="00AE0B66">
        <w:trPr>
          <w:jc w:val="center"/>
        </w:trPr>
        <w:tc>
          <w:tcPr>
            <w:tcW w:w="1833" w:type="dxa"/>
            <w:vAlign w:val="center"/>
          </w:tcPr>
          <w:p w14:paraId="193B5088"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ПУРН</w:t>
            </w:r>
          </w:p>
        </w:tc>
        <w:tc>
          <w:tcPr>
            <w:tcW w:w="7455" w:type="dxa"/>
            <w:vAlign w:val="center"/>
          </w:tcPr>
          <w:p w14:paraId="138D3EA9" w14:textId="77777777" w:rsidR="00AE0B66" w:rsidRPr="00B3374B" w:rsidRDefault="006B329E" w:rsidP="00AE0B66">
            <w:pPr>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План</w:t>
            </w:r>
            <w:r w:rsidR="00AE0B66" w:rsidRPr="00B3374B">
              <w:rPr>
                <w:rFonts w:ascii="Times New Roman" w:eastAsia="Times New Roman" w:hAnsi="Times New Roman" w:cs="Times New Roman"/>
                <w:sz w:val="24"/>
                <w:szCs w:val="24"/>
                <w:lang w:eastAsia="bg-BG"/>
              </w:rPr>
              <w:t xml:space="preserve"> за управление на риска от наводнения</w:t>
            </w:r>
          </w:p>
        </w:tc>
      </w:tr>
      <w:tr w:rsidR="00AE0B66" w:rsidRPr="00B3374B" w14:paraId="05C7C025" w14:textId="77777777" w:rsidTr="00AE0B66">
        <w:trPr>
          <w:jc w:val="center"/>
        </w:trPr>
        <w:tc>
          <w:tcPr>
            <w:tcW w:w="1833" w:type="dxa"/>
            <w:vAlign w:val="center"/>
          </w:tcPr>
          <w:p w14:paraId="011DA6B6"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ПХГ</w:t>
            </w:r>
          </w:p>
        </w:tc>
        <w:tc>
          <w:tcPr>
            <w:tcW w:w="7455" w:type="dxa"/>
            <w:vAlign w:val="center"/>
          </w:tcPr>
          <w:p w14:paraId="699149C3"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Подземно газово хранилище</w:t>
            </w:r>
          </w:p>
        </w:tc>
      </w:tr>
      <w:tr w:rsidR="00AE0B66" w:rsidRPr="00B3374B" w14:paraId="6B0B98C3" w14:textId="77777777" w:rsidTr="00AE0B66">
        <w:trPr>
          <w:jc w:val="center"/>
        </w:trPr>
        <w:tc>
          <w:tcPr>
            <w:tcW w:w="1833" w:type="dxa"/>
            <w:vAlign w:val="center"/>
          </w:tcPr>
          <w:p w14:paraId="5B230582"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РДВ</w:t>
            </w:r>
          </w:p>
        </w:tc>
        <w:tc>
          <w:tcPr>
            <w:tcW w:w="7455" w:type="dxa"/>
            <w:vAlign w:val="center"/>
          </w:tcPr>
          <w:p w14:paraId="699743A9"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Рамкова Директива за водите</w:t>
            </w:r>
          </w:p>
        </w:tc>
      </w:tr>
      <w:tr w:rsidR="00AE0B66" w:rsidRPr="00B3374B" w14:paraId="41D78855" w14:textId="77777777" w:rsidTr="00AE0B66">
        <w:trPr>
          <w:jc w:val="center"/>
        </w:trPr>
        <w:tc>
          <w:tcPr>
            <w:tcW w:w="1833" w:type="dxa"/>
            <w:vAlign w:val="center"/>
          </w:tcPr>
          <w:p w14:paraId="36F06009" w14:textId="77777777" w:rsidR="00AE0B66" w:rsidRPr="00B3374B" w:rsidRDefault="00AE0B66" w:rsidP="00AE0B66">
            <w:pPr>
              <w:rPr>
                <w:rFonts w:ascii="Times New Roman" w:hAnsi="Times New Roman" w:cs="Times New Roman"/>
                <w:b/>
                <w:iCs/>
                <w:sz w:val="24"/>
                <w:szCs w:val="24"/>
              </w:rPr>
            </w:pPr>
            <w:r w:rsidRPr="00B3374B">
              <w:rPr>
                <w:rFonts w:ascii="Times New Roman" w:hAnsi="Times New Roman" w:cs="Times New Roman"/>
                <w:b/>
                <w:iCs/>
                <w:sz w:val="24"/>
                <w:szCs w:val="24"/>
              </w:rPr>
              <w:t>РЗП</w:t>
            </w:r>
          </w:p>
        </w:tc>
        <w:tc>
          <w:tcPr>
            <w:tcW w:w="7455" w:type="dxa"/>
            <w:vAlign w:val="center"/>
          </w:tcPr>
          <w:p w14:paraId="3EA10206" w14:textId="77777777" w:rsidR="00AE0B66" w:rsidRPr="00B3374B" w:rsidRDefault="00AE0B66" w:rsidP="00AE0B66">
            <w:pPr>
              <w:autoSpaceDE w:val="0"/>
              <w:autoSpaceDN w:val="0"/>
              <w:adjustRightInd w:val="0"/>
              <w:spacing w:line="276" w:lineRule="auto"/>
              <w:jc w:val="both"/>
              <w:rPr>
                <w:rFonts w:ascii="Times New Roman" w:hAnsi="Times New Roman" w:cs="Times New Roman"/>
                <w:iCs/>
                <w:sz w:val="24"/>
                <w:szCs w:val="24"/>
              </w:rPr>
            </w:pPr>
            <w:r w:rsidRPr="00B3374B">
              <w:rPr>
                <w:rFonts w:ascii="Times New Roman" w:hAnsi="Times New Roman" w:cs="Times New Roman"/>
                <w:iCs/>
                <w:sz w:val="24"/>
                <w:szCs w:val="24"/>
              </w:rPr>
              <w:t>Разгърната застроена площ</w:t>
            </w:r>
          </w:p>
        </w:tc>
      </w:tr>
      <w:tr w:rsidR="00AE0B66" w:rsidRPr="00B3374B" w14:paraId="3AC55C6D" w14:textId="77777777" w:rsidTr="00AE0B66">
        <w:trPr>
          <w:jc w:val="center"/>
        </w:trPr>
        <w:tc>
          <w:tcPr>
            <w:tcW w:w="1833" w:type="dxa"/>
            <w:vAlign w:val="center"/>
          </w:tcPr>
          <w:p w14:paraId="0495EACA"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РИОСВ</w:t>
            </w:r>
          </w:p>
        </w:tc>
        <w:tc>
          <w:tcPr>
            <w:tcW w:w="7455" w:type="dxa"/>
            <w:vAlign w:val="center"/>
          </w:tcPr>
          <w:p w14:paraId="065D0CEC"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Регионална инспекция по околна среда и води</w:t>
            </w:r>
          </w:p>
        </w:tc>
      </w:tr>
      <w:tr w:rsidR="00AE0B66" w:rsidRPr="00B3374B" w14:paraId="6216603C" w14:textId="77777777" w:rsidTr="00AE0B66">
        <w:trPr>
          <w:jc w:val="center"/>
        </w:trPr>
        <w:tc>
          <w:tcPr>
            <w:tcW w:w="1833" w:type="dxa"/>
            <w:vAlign w:val="center"/>
          </w:tcPr>
          <w:p w14:paraId="40779F42"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РПМ</w:t>
            </w:r>
          </w:p>
        </w:tc>
        <w:tc>
          <w:tcPr>
            <w:tcW w:w="7455" w:type="dxa"/>
            <w:vAlign w:val="center"/>
          </w:tcPr>
          <w:p w14:paraId="482582C3" w14:textId="77777777" w:rsidR="00AE0B66" w:rsidRPr="00B3374B" w:rsidRDefault="006B329E" w:rsidP="00AE0B66">
            <w:pPr>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Републиканска пътн</w:t>
            </w:r>
            <w:r w:rsidR="00AE0B66" w:rsidRPr="00B3374B">
              <w:rPr>
                <w:rFonts w:ascii="Times New Roman" w:eastAsia="Times New Roman" w:hAnsi="Times New Roman" w:cs="Times New Roman"/>
                <w:sz w:val="24"/>
                <w:szCs w:val="24"/>
                <w:lang w:eastAsia="bg-BG"/>
              </w:rPr>
              <w:t>а мрежа</w:t>
            </w:r>
          </w:p>
        </w:tc>
      </w:tr>
      <w:tr w:rsidR="00AE0B66" w:rsidRPr="00B3374B" w14:paraId="64BC6FEB" w14:textId="77777777" w:rsidTr="00AE0B66">
        <w:trPr>
          <w:jc w:val="center"/>
        </w:trPr>
        <w:tc>
          <w:tcPr>
            <w:tcW w:w="1833" w:type="dxa"/>
            <w:vAlign w:val="center"/>
          </w:tcPr>
          <w:p w14:paraId="0F76BF22"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hAnsi="Times New Roman" w:cs="Times New Roman"/>
                <w:b/>
                <w:sz w:val="24"/>
                <w:szCs w:val="24"/>
              </w:rPr>
              <w:t>СЕЕ</w:t>
            </w:r>
          </w:p>
        </w:tc>
        <w:tc>
          <w:tcPr>
            <w:tcW w:w="7455" w:type="dxa"/>
            <w:vAlign w:val="center"/>
          </w:tcPr>
          <w:p w14:paraId="598F2CF4"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hAnsi="Times New Roman" w:cs="Times New Roman"/>
                <w:sz w:val="24"/>
                <w:szCs w:val="24"/>
              </w:rPr>
              <w:t>Схема енергийна ефективност</w:t>
            </w:r>
          </w:p>
        </w:tc>
      </w:tr>
      <w:tr w:rsidR="00AE0B66" w:rsidRPr="00B3374B" w14:paraId="58DBCD8D" w14:textId="77777777" w:rsidTr="00AE0B66">
        <w:trPr>
          <w:jc w:val="center"/>
        </w:trPr>
        <w:tc>
          <w:tcPr>
            <w:tcW w:w="1833" w:type="dxa"/>
            <w:vAlign w:val="center"/>
          </w:tcPr>
          <w:p w14:paraId="2C1E7E10" w14:textId="77777777" w:rsidR="00AE0B66" w:rsidRPr="00B3374B" w:rsidRDefault="00AE0B66" w:rsidP="00AE0B66">
            <w:pPr>
              <w:rPr>
                <w:rFonts w:ascii="Times New Roman" w:hAnsi="Times New Roman" w:cs="Times New Roman"/>
                <w:b/>
                <w:sz w:val="24"/>
                <w:szCs w:val="24"/>
              </w:rPr>
            </w:pPr>
            <w:r w:rsidRPr="00B3374B">
              <w:rPr>
                <w:rFonts w:ascii="Times New Roman" w:hAnsi="Times New Roman" w:cs="Times New Roman"/>
                <w:b/>
                <w:sz w:val="24"/>
                <w:szCs w:val="24"/>
              </w:rPr>
              <w:t>СЕМ</w:t>
            </w:r>
          </w:p>
        </w:tc>
        <w:tc>
          <w:tcPr>
            <w:tcW w:w="7455" w:type="dxa"/>
            <w:vAlign w:val="center"/>
          </w:tcPr>
          <w:p w14:paraId="28D6F0AC" w14:textId="77777777" w:rsidR="00AE0B66" w:rsidRPr="00B3374B" w:rsidRDefault="00AE0B66" w:rsidP="00AE0B66">
            <w:pPr>
              <w:jc w:val="both"/>
              <w:rPr>
                <w:rFonts w:ascii="Times New Roman" w:hAnsi="Times New Roman" w:cs="Times New Roman"/>
                <w:sz w:val="24"/>
                <w:szCs w:val="24"/>
              </w:rPr>
            </w:pPr>
            <w:r w:rsidRPr="00B3374B">
              <w:rPr>
                <w:rFonts w:ascii="Times New Roman" w:hAnsi="Times New Roman" w:cs="Times New Roman"/>
                <w:sz w:val="24"/>
                <w:szCs w:val="24"/>
              </w:rPr>
              <w:t>Схема електромобили</w:t>
            </w:r>
          </w:p>
        </w:tc>
      </w:tr>
      <w:tr w:rsidR="00AE0B66" w:rsidRPr="00B3374B" w14:paraId="6B9A8DB7" w14:textId="77777777" w:rsidTr="00AE0B66">
        <w:trPr>
          <w:jc w:val="center"/>
        </w:trPr>
        <w:tc>
          <w:tcPr>
            <w:tcW w:w="1833" w:type="dxa"/>
            <w:vAlign w:val="center"/>
          </w:tcPr>
          <w:p w14:paraId="0369769D"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СКОС</w:t>
            </w:r>
          </w:p>
        </w:tc>
        <w:tc>
          <w:tcPr>
            <w:tcW w:w="7455" w:type="dxa"/>
            <w:vAlign w:val="center"/>
          </w:tcPr>
          <w:p w14:paraId="7FF81715"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Стандарти за качество на околната среда</w:t>
            </w:r>
          </w:p>
        </w:tc>
      </w:tr>
      <w:tr w:rsidR="00AE0B66" w:rsidRPr="00B3374B" w14:paraId="75F65465" w14:textId="77777777" w:rsidTr="00AE0B66">
        <w:trPr>
          <w:jc w:val="center"/>
        </w:trPr>
        <w:tc>
          <w:tcPr>
            <w:tcW w:w="1833" w:type="dxa"/>
            <w:vAlign w:val="center"/>
          </w:tcPr>
          <w:p w14:paraId="233BA6E2" w14:textId="77777777" w:rsidR="00AE0B66" w:rsidRPr="00B3374B" w:rsidRDefault="00AE0B66" w:rsidP="00AE0B66">
            <w:pPr>
              <w:rPr>
                <w:rFonts w:ascii="Times New Roman" w:hAnsi="Times New Roman" w:cs="Times New Roman"/>
                <w:b/>
                <w:sz w:val="24"/>
                <w:szCs w:val="24"/>
              </w:rPr>
            </w:pPr>
            <w:r w:rsidRPr="00B3374B">
              <w:rPr>
                <w:rFonts w:ascii="Times New Roman" w:hAnsi="Times New Roman" w:cs="Times New Roman"/>
                <w:b/>
                <w:iCs/>
                <w:sz w:val="24"/>
                <w:szCs w:val="24"/>
              </w:rPr>
              <w:lastRenderedPageBreak/>
              <w:t>СТЕ</w:t>
            </w:r>
          </w:p>
        </w:tc>
        <w:tc>
          <w:tcPr>
            <w:tcW w:w="7455" w:type="dxa"/>
            <w:vAlign w:val="center"/>
          </w:tcPr>
          <w:p w14:paraId="427DFA40" w14:textId="77777777" w:rsidR="00AE0B66" w:rsidRPr="00B3374B" w:rsidRDefault="00AE0B66" w:rsidP="00AE0B66">
            <w:pPr>
              <w:jc w:val="both"/>
              <w:rPr>
                <w:rFonts w:ascii="Times New Roman" w:hAnsi="Times New Roman" w:cs="Times New Roman"/>
                <w:iCs/>
                <w:sz w:val="24"/>
                <w:szCs w:val="24"/>
              </w:rPr>
            </w:pPr>
            <w:r w:rsidRPr="00B3374B">
              <w:rPr>
                <w:rFonts w:ascii="Times New Roman" w:hAnsi="Times New Roman" w:cs="Times New Roman"/>
                <w:iCs/>
                <w:sz w:val="24"/>
                <w:szCs w:val="24"/>
              </w:rPr>
              <w:t>Схема за търговия с емисии</w:t>
            </w:r>
          </w:p>
        </w:tc>
      </w:tr>
      <w:tr w:rsidR="00AE0B66" w:rsidRPr="00B3374B" w14:paraId="623AC1C2" w14:textId="77777777" w:rsidTr="00AE0B66">
        <w:trPr>
          <w:jc w:val="center"/>
        </w:trPr>
        <w:tc>
          <w:tcPr>
            <w:tcW w:w="1833" w:type="dxa"/>
            <w:vAlign w:val="center"/>
          </w:tcPr>
          <w:p w14:paraId="06109D28" w14:textId="77777777" w:rsidR="00AE0B66" w:rsidRPr="00B3374B" w:rsidRDefault="00AE0B66" w:rsidP="00AE0B66">
            <w:pPr>
              <w:rPr>
                <w:rFonts w:ascii="Times New Roman" w:eastAsia="Times New Roman" w:hAnsi="Times New Roman" w:cs="Times New Roman"/>
                <w:b/>
                <w:sz w:val="24"/>
                <w:szCs w:val="24"/>
                <w:lang w:eastAsia="bg-BG"/>
              </w:rPr>
            </w:pPr>
            <w:r w:rsidRPr="00B3374B">
              <w:rPr>
                <w:rFonts w:ascii="Times New Roman" w:eastAsia="Times New Roman" w:hAnsi="Times New Roman" w:cs="Times New Roman"/>
                <w:b/>
                <w:sz w:val="24"/>
                <w:szCs w:val="24"/>
                <w:lang w:eastAsia="bg-BG"/>
              </w:rPr>
              <w:t>СШК</w:t>
            </w:r>
          </w:p>
        </w:tc>
        <w:tc>
          <w:tcPr>
            <w:tcW w:w="7455" w:type="dxa"/>
            <w:vAlign w:val="center"/>
          </w:tcPr>
          <w:p w14:paraId="4669C1C0" w14:textId="77777777" w:rsidR="00AE0B66" w:rsidRPr="00B3374B" w:rsidRDefault="00AE0B66" w:rsidP="00AE0B66">
            <w:pPr>
              <w:jc w:val="both"/>
              <w:rPr>
                <w:rFonts w:ascii="Times New Roman" w:eastAsia="Times New Roman" w:hAnsi="Times New Roman" w:cs="Times New Roman"/>
                <w:sz w:val="24"/>
                <w:szCs w:val="24"/>
                <w:lang w:eastAsia="bg-BG"/>
              </w:rPr>
            </w:pPr>
            <w:r w:rsidRPr="00B3374B">
              <w:rPr>
                <w:rFonts w:ascii="Times New Roman" w:eastAsia="Times New Roman" w:hAnsi="Times New Roman" w:cs="Times New Roman"/>
                <w:sz w:val="24"/>
                <w:szCs w:val="24"/>
                <w:lang w:eastAsia="bg-BG"/>
              </w:rPr>
              <w:t>Стратегически шумови карти</w:t>
            </w:r>
          </w:p>
        </w:tc>
      </w:tr>
      <w:tr w:rsidR="00AE0B66" w:rsidRPr="00B3374B" w14:paraId="0CAF808C" w14:textId="77777777" w:rsidTr="00AE0B66">
        <w:trPr>
          <w:jc w:val="center"/>
        </w:trPr>
        <w:tc>
          <w:tcPr>
            <w:tcW w:w="1833" w:type="dxa"/>
            <w:vAlign w:val="center"/>
          </w:tcPr>
          <w:p w14:paraId="0328159C" w14:textId="77777777" w:rsidR="00AE0B66" w:rsidRPr="00B3374B" w:rsidRDefault="00AE0B66" w:rsidP="00AE0B66">
            <w:pPr>
              <w:rPr>
                <w:rFonts w:ascii="Times New Roman" w:hAnsi="Times New Roman" w:cs="Times New Roman"/>
                <w:b/>
                <w:sz w:val="24"/>
                <w:szCs w:val="24"/>
                <w:lang w:val="en-US"/>
              </w:rPr>
            </w:pPr>
            <w:r w:rsidRPr="00B3374B">
              <w:rPr>
                <w:rFonts w:ascii="Times New Roman" w:hAnsi="Times New Roman" w:cs="Times New Roman"/>
                <w:b/>
                <w:sz w:val="24"/>
                <w:szCs w:val="24"/>
                <w:lang w:val="en-US"/>
              </w:rPr>
              <w:t>СЯГ</w:t>
            </w:r>
          </w:p>
        </w:tc>
        <w:tc>
          <w:tcPr>
            <w:tcW w:w="7455" w:type="dxa"/>
            <w:vAlign w:val="center"/>
          </w:tcPr>
          <w:p w14:paraId="33D1A4E4" w14:textId="77777777" w:rsidR="00AE0B66" w:rsidRPr="00B3374B" w:rsidRDefault="00AE0B66" w:rsidP="00AE0B66">
            <w:pPr>
              <w:jc w:val="both"/>
              <w:rPr>
                <w:rFonts w:ascii="Times New Roman" w:hAnsi="Times New Roman" w:cs="Times New Roman"/>
                <w:sz w:val="24"/>
                <w:szCs w:val="24"/>
                <w:lang w:val="en-US"/>
              </w:rPr>
            </w:pPr>
            <w:r w:rsidRPr="00B3374B">
              <w:rPr>
                <w:rFonts w:ascii="Times New Roman" w:hAnsi="Times New Roman" w:cs="Times New Roman"/>
                <w:sz w:val="24"/>
                <w:szCs w:val="24"/>
              </w:rPr>
              <w:t>Свежо ядрено гориво</w:t>
            </w:r>
          </w:p>
        </w:tc>
      </w:tr>
      <w:tr w:rsidR="00AE0B66" w:rsidRPr="00B3374B" w14:paraId="3645EA15" w14:textId="77777777" w:rsidTr="00AE0B66">
        <w:trPr>
          <w:jc w:val="center"/>
        </w:trPr>
        <w:tc>
          <w:tcPr>
            <w:tcW w:w="1833" w:type="dxa"/>
            <w:vAlign w:val="center"/>
          </w:tcPr>
          <w:p w14:paraId="43E32A70" w14:textId="77777777" w:rsidR="00AE0B66" w:rsidRPr="00B3374B" w:rsidRDefault="00AE0B66" w:rsidP="00AE0B66">
            <w:pPr>
              <w:rPr>
                <w:rFonts w:ascii="Times New Roman" w:hAnsi="Times New Roman" w:cs="Times New Roman"/>
                <w:b/>
                <w:sz w:val="24"/>
                <w:szCs w:val="24"/>
              </w:rPr>
            </w:pPr>
            <w:r w:rsidRPr="00B3374B">
              <w:rPr>
                <w:rFonts w:ascii="Times New Roman" w:hAnsi="Times New Roman" w:cs="Times New Roman"/>
                <w:b/>
                <w:sz w:val="24"/>
                <w:szCs w:val="24"/>
              </w:rPr>
              <w:t>ФИ</w:t>
            </w:r>
          </w:p>
        </w:tc>
        <w:tc>
          <w:tcPr>
            <w:tcW w:w="7455" w:type="dxa"/>
            <w:vAlign w:val="center"/>
          </w:tcPr>
          <w:p w14:paraId="7CDFF1A3" w14:textId="77777777" w:rsidR="00AE0B66" w:rsidRPr="00B3374B" w:rsidRDefault="00AE0B66" w:rsidP="00AE0B66">
            <w:pPr>
              <w:jc w:val="both"/>
              <w:rPr>
                <w:rFonts w:ascii="Times New Roman" w:hAnsi="Times New Roman" w:cs="Times New Roman"/>
                <w:sz w:val="24"/>
                <w:szCs w:val="24"/>
              </w:rPr>
            </w:pPr>
            <w:r w:rsidRPr="00B3374B">
              <w:rPr>
                <w:rFonts w:ascii="Times New Roman" w:hAnsi="Times New Roman" w:cs="Times New Roman"/>
                <w:sz w:val="24"/>
                <w:szCs w:val="24"/>
              </w:rPr>
              <w:t>Финансови инструменти</w:t>
            </w:r>
          </w:p>
        </w:tc>
      </w:tr>
      <w:tr w:rsidR="00AE0B66" w:rsidRPr="00B3374B" w14:paraId="1AA9D561" w14:textId="77777777" w:rsidTr="00AE0B66">
        <w:trPr>
          <w:jc w:val="center"/>
        </w:trPr>
        <w:tc>
          <w:tcPr>
            <w:tcW w:w="1833" w:type="dxa"/>
            <w:vAlign w:val="center"/>
          </w:tcPr>
          <w:p w14:paraId="333208D0" w14:textId="77777777" w:rsidR="00AE0B66" w:rsidRPr="00B3374B" w:rsidRDefault="00AE0B66" w:rsidP="00AE0B66">
            <w:pPr>
              <w:rPr>
                <w:rFonts w:ascii="Times New Roman" w:hAnsi="Times New Roman" w:cs="Times New Roman"/>
                <w:b/>
                <w:sz w:val="24"/>
                <w:szCs w:val="24"/>
                <w:lang w:val="en-US"/>
              </w:rPr>
            </w:pPr>
            <w:r w:rsidRPr="00B3374B">
              <w:rPr>
                <w:rFonts w:ascii="Times New Roman" w:hAnsi="Times New Roman" w:cs="Times New Roman"/>
                <w:b/>
                <w:sz w:val="24"/>
                <w:szCs w:val="24"/>
              </w:rPr>
              <w:t>ЦВП</w:t>
            </w:r>
          </w:p>
        </w:tc>
        <w:tc>
          <w:tcPr>
            <w:tcW w:w="7455" w:type="dxa"/>
            <w:vAlign w:val="center"/>
          </w:tcPr>
          <w:p w14:paraId="2188DD98" w14:textId="77777777" w:rsidR="00AE0B66" w:rsidRPr="00B3374B" w:rsidRDefault="00AE0B66" w:rsidP="00AE0B66">
            <w:pPr>
              <w:jc w:val="both"/>
              <w:rPr>
                <w:rFonts w:ascii="Times New Roman" w:hAnsi="Times New Roman" w:cs="Times New Roman"/>
                <w:sz w:val="24"/>
                <w:szCs w:val="24"/>
                <w:lang w:val="en-US"/>
              </w:rPr>
            </w:pPr>
            <w:r w:rsidRPr="00B3374B">
              <w:rPr>
                <w:rFonts w:ascii="Times New Roman" w:hAnsi="Times New Roman" w:cs="Times New Roman"/>
                <w:sz w:val="24"/>
                <w:szCs w:val="24"/>
                <w:lang w:val="en-US"/>
              </w:rPr>
              <w:t>Център за върхови постижения</w:t>
            </w:r>
          </w:p>
        </w:tc>
      </w:tr>
      <w:tr w:rsidR="00AE0B66" w:rsidRPr="00B3374B" w14:paraId="2A710DEF" w14:textId="77777777" w:rsidTr="00AE0B66">
        <w:trPr>
          <w:jc w:val="center"/>
        </w:trPr>
        <w:tc>
          <w:tcPr>
            <w:tcW w:w="1833" w:type="dxa"/>
            <w:vAlign w:val="center"/>
          </w:tcPr>
          <w:p w14:paraId="006BB6D2" w14:textId="77777777" w:rsidR="00AE0B66" w:rsidRPr="00B3374B" w:rsidRDefault="00AE0B66" w:rsidP="00AE0B66">
            <w:pPr>
              <w:rPr>
                <w:rFonts w:ascii="Times New Roman" w:hAnsi="Times New Roman" w:cs="Times New Roman"/>
                <w:b/>
                <w:sz w:val="24"/>
                <w:szCs w:val="24"/>
              </w:rPr>
            </w:pPr>
            <w:r w:rsidRPr="00B3374B">
              <w:rPr>
                <w:rFonts w:ascii="Times New Roman" w:hAnsi="Times New Roman" w:cs="Times New Roman"/>
                <w:b/>
                <w:sz w:val="24"/>
                <w:szCs w:val="24"/>
                <w:lang w:val="en-US"/>
              </w:rPr>
              <w:t>ЦК</w:t>
            </w:r>
          </w:p>
        </w:tc>
        <w:tc>
          <w:tcPr>
            <w:tcW w:w="7455" w:type="dxa"/>
            <w:vAlign w:val="center"/>
          </w:tcPr>
          <w:p w14:paraId="3F513BD4" w14:textId="77777777" w:rsidR="00AE0B66" w:rsidRPr="00B3374B" w:rsidRDefault="00AE0B66" w:rsidP="00AE0B66">
            <w:pPr>
              <w:jc w:val="both"/>
              <w:rPr>
                <w:rFonts w:ascii="Times New Roman" w:hAnsi="Times New Roman" w:cs="Times New Roman"/>
                <w:sz w:val="24"/>
                <w:szCs w:val="24"/>
              </w:rPr>
            </w:pPr>
            <w:r w:rsidRPr="00B3374B">
              <w:rPr>
                <w:rFonts w:ascii="Times New Roman" w:hAnsi="Times New Roman" w:cs="Times New Roman"/>
                <w:sz w:val="24"/>
                <w:szCs w:val="24"/>
                <w:lang w:val="en-US"/>
              </w:rPr>
              <w:t>Центрове за компетентност</w:t>
            </w:r>
          </w:p>
        </w:tc>
      </w:tr>
    </w:tbl>
    <w:p w14:paraId="4E304791" w14:textId="77777777" w:rsidR="00AE0B66" w:rsidRPr="00B3374B" w:rsidRDefault="00AE0B66" w:rsidP="00AE0B66">
      <w:pPr>
        <w:spacing w:after="0" w:line="240" w:lineRule="auto"/>
        <w:rPr>
          <w:rFonts w:ascii="Times New Roman" w:hAnsi="Times New Roman" w:cs="Times New Roman"/>
          <w:b/>
          <w:sz w:val="24"/>
          <w:szCs w:val="24"/>
          <w:highlight w:val="yellow"/>
        </w:rPr>
      </w:pPr>
    </w:p>
    <w:p w14:paraId="2D3652EE" w14:textId="77777777" w:rsidR="00AE0B66" w:rsidRPr="00B3374B" w:rsidRDefault="00AE0B66" w:rsidP="00AE0B66">
      <w:pPr>
        <w:spacing w:after="0" w:line="240" w:lineRule="auto"/>
        <w:rPr>
          <w:rFonts w:ascii="Times New Roman" w:hAnsi="Times New Roman" w:cs="Times New Roman"/>
          <w:b/>
          <w:sz w:val="24"/>
          <w:szCs w:val="24"/>
          <w:highlight w:val="yellow"/>
        </w:rPr>
      </w:pPr>
    </w:p>
    <w:p w14:paraId="1818325B" w14:textId="77777777" w:rsidR="007321D0" w:rsidRPr="00AE0B66" w:rsidRDefault="007321D0" w:rsidP="00807167">
      <w:pPr>
        <w:rPr>
          <w:rFonts w:ascii="Times New Roman" w:hAnsi="Times New Roman" w:cs="Times New Roman"/>
          <w:b/>
          <w:sz w:val="24"/>
          <w:szCs w:val="24"/>
          <w:highlight w:val="yellow"/>
        </w:rPr>
      </w:pPr>
      <w:r w:rsidRPr="00AE0B66">
        <w:rPr>
          <w:rFonts w:ascii="Times New Roman" w:hAnsi="Times New Roman" w:cs="Times New Roman"/>
          <w:b/>
          <w:sz w:val="24"/>
          <w:szCs w:val="24"/>
          <w:highlight w:val="yellow"/>
        </w:rPr>
        <w:br w:type="page"/>
      </w:r>
    </w:p>
    <w:p w14:paraId="735081E1" w14:textId="77777777" w:rsidR="00A548F3" w:rsidRPr="00021F56" w:rsidRDefault="00A548F3" w:rsidP="00CD31BE">
      <w:pPr>
        <w:pStyle w:val="Heading1"/>
        <w:numPr>
          <w:ilvl w:val="0"/>
          <w:numId w:val="1"/>
        </w:numPr>
        <w:shd w:val="clear" w:color="auto" w:fill="E2EFD9" w:themeFill="accent6" w:themeFillTint="33"/>
        <w:spacing w:before="0" w:line="276" w:lineRule="auto"/>
        <w:ind w:left="0" w:firstLine="709"/>
        <w:jc w:val="both"/>
        <w:rPr>
          <w:rFonts w:ascii="Times New Roman" w:hAnsi="Times New Roman" w:cs="Times New Roman"/>
          <w:b/>
          <w:color w:val="auto"/>
          <w:sz w:val="28"/>
        </w:rPr>
      </w:pPr>
      <w:bookmarkStart w:id="0" w:name="_Toc202729999"/>
      <w:r w:rsidRPr="00021F56">
        <w:rPr>
          <w:rFonts w:ascii="Times New Roman" w:hAnsi="Times New Roman" w:cs="Times New Roman"/>
          <w:b/>
          <w:color w:val="auto"/>
          <w:sz w:val="28"/>
        </w:rPr>
        <w:lastRenderedPageBreak/>
        <w:t>ВЪВЕДЕНИЕ</w:t>
      </w:r>
      <w:bookmarkEnd w:id="0"/>
    </w:p>
    <w:p w14:paraId="7293971C" w14:textId="3D483D28" w:rsidR="008142D2" w:rsidRPr="006A236B" w:rsidRDefault="008142D2" w:rsidP="00D87645">
      <w:pPr>
        <w:autoSpaceDE w:val="0"/>
        <w:autoSpaceDN w:val="0"/>
        <w:adjustRightInd w:val="0"/>
        <w:spacing w:after="0" w:line="276" w:lineRule="auto"/>
        <w:ind w:firstLine="709"/>
        <w:jc w:val="both"/>
        <w:rPr>
          <w:rFonts w:ascii="Times New Roman" w:eastAsia="Calibri" w:hAnsi="Times New Roman" w:cs="Times New Roman"/>
          <w:sz w:val="24"/>
          <w:szCs w:val="24"/>
        </w:rPr>
      </w:pPr>
      <w:r w:rsidRPr="008142D2">
        <w:rPr>
          <w:rFonts w:ascii="Times New Roman" w:eastAsia="Calibri" w:hAnsi="Times New Roman" w:cs="Times New Roman"/>
          <w:sz w:val="24"/>
          <w:szCs w:val="24"/>
        </w:rPr>
        <w:t xml:space="preserve">Заданието за обхват и съдържание на Доклада за Екологична оценка на </w:t>
      </w:r>
      <w:r w:rsidRPr="008142D2">
        <w:rPr>
          <w:rFonts w:ascii="Times New Roman" w:hAnsi="Times New Roman" w:cs="Times New Roman"/>
          <w:i/>
          <w:sz w:val="24"/>
          <w:szCs w:val="24"/>
        </w:rPr>
        <w:t xml:space="preserve">проект на </w:t>
      </w:r>
      <w:r w:rsidRPr="008142D2">
        <w:rPr>
          <w:rFonts w:ascii="Times New Roman" w:hAnsi="Times New Roman" w:cs="Times New Roman"/>
          <w:bCs/>
          <w:i/>
          <w:sz w:val="24"/>
          <w:szCs w:val="24"/>
        </w:rPr>
        <w:t>Интегриран план в областта на енергетиката и климата на Република България</w:t>
      </w:r>
      <w:r w:rsidR="00527428">
        <w:rPr>
          <w:rFonts w:ascii="Times New Roman" w:hAnsi="Times New Roman" w:cs="Times New Roman"/>
          <w:bCs/>
          <w:i/>
          <w:sz w:val="24"/>
          <w:szCs w:val="24"/>
        </w:rPr>
        <w:t xml:space="preserve"> -</w:t>
      </w:r>
      <w:r w:rsidRPr="008142D2">
        <w:rPr>
          <w:rFonts w:ascii="Times New Roman" w:hAnsi="Times New Roman" w:cs="Times New Roman"/>
          <w:bCs/>
          <w:i/>
          <w:sz w:val="24"/>
          <w:szCs w:val="24"/>
        </w:rPr>
        <w:t xml:space="preserve"> актуализация 2024 г. </w:t>
      </w:r>
      <w:r w:rsidRPr="008142D2">
        <w:rPr>
          <w:rFonts w:ascii="Times New Roman" w:eastAsia="Calibri" w:hAnsi="Times New Roman" w:cs="Times New Roman"/>
          <w:sz w:val="24"/>
          <w:szCs w:val="24"/>
        </w:rPr>
        <w:t xml:space="preserve">е изготвено в рамките на процедурата по екологична оценка, в изпълнение на изискванията на чл. 19а от Наредбата за условията и реда за извършване на </w:t>
      </w:r>
      <w:r w:rsidRPr="00D87645">
        <w:rPr>
          <w:rFonts w:ascii="Times New Roman" w:eastAsia="Calibri" w:hAnsi="Times New Roman" w:cs="Times New Roman"/>
          <w:sz w:val="24"/>
          <w:szCs w:val="24"/>
        </w:rPr>
        <w:t>екологична оценка на планове и програми (Наредбата за ЕО). Заданието е съобразено с указанията в писмо на Министерство на околната среда и водите с изх. № ЕО-</w:t>
      </w:r>
      <w:r w:rsidR="00527428" w:rsidRPr="00D87645">
        <w:rPr>
          <w:rFonts w:ascii="Times New Roman" w:eastAsia="Calibri" w:hAnsi="Times New Roman" w:cs="Times New Roman"/>
          <w:sz w:val="24"/>
          <w:szCs w:val="24"/>
        </w:rPr>
        <w:t>3/15</w:t>
      </w:r>
      <w:r w:rsidRPr="00D87645">
        <w:rPr>
          <w:rFonts w:ascii="Times New Roman" w:eastAsia="Calibri" w:hAnsi="Times New Roman" w:cs="Times New Roman"/>
          <w:sz w:val="24"/>
          <w:szCs w:val="24"/>
        </w:rPr>
        <w:t>.0</w:t>
      </w:r>
      <w:r w:rsidR="00527428" w:rsidRPr="00D87645">
        <w:rPr>
          <w:rFonts w:ascii="Times New Roman" w:eastAsia="Calibri" w:hAnsi="Times New Roman" w:cs="Times New Roman"/>
          <w:sz w:val="24"/>
          <w:szCs w:val="24"/>
        </w:rPr>
        <w:t>7</w:t>
      </w:r>
      <w:r w:rsidRPr="00D87645">
        <w:rPr>
          <w:rFonts w:ascii="Times New Roman" w:eastAsia="Calibri" w:hAnsi="Times New Roman" w:cs="Times New Roman"/>
          <w:sz w:val="24"/>
          <w:szCs w:val="24"/>
        </w:rPr>
        <w:t>.202</w:t>
      </w:r>
      <w:r w:rsidR="00527428" w:rsidRPr="00D87645">
        <w:rPr>
          <w:rFonts w:ascii="Times New Roman" w:eastAsia="Calibri" w:hAnsi="Times New Roman" w:cs="Times New Roman"/>
          <w:sz w:val="24"/>
          <w:szCs w:val="24"/>
        </w:rPr>
        <w:t>4</w:t>
      </w:r>
      <w:r w:rsidRPr="00D87645">
        <w:rPr>
          <w:rFonts w:ascii="Times New Roman" w:eastAsia="Calibri" w:hAnsi="Times New Roman" w:cs="Times New Roman"/>
          <w:sz w:val="24"/>
          <w:szCs w:val="24"/>
        </w:rPr>
        <w:t xml:space="preserve"> г., с което Министърът на околната среда и водите е определил да се извърши задължителна екологична оценка на </w:t>
      </w:r>
      <w:r w:rsidR="00D87645" w:rsidRPr="00D87645">
        <w:rPr>
          <w:rFonts w:ascii="Times New Roman" w:hAnsi="Times New Roman" w:cs="Times New Roman"/>
          <w:sz w:val="24"/>
          <w:szCs w:val="24"/>
        </w:rPr>
        <w:t>проект</w:t>
      </w:r>
      <w:r w:rsidR="00C15DF4">
        <w:rPr>
          <w:rFonts w:ascii="Times New Roman" w:hAnsi="Times New Roman" w:cs="Times New Roman"/>
          <w:sz w:val="24"/>
          <w:szCs w:val="24"/>
        </w:rPr>
        <w:t>а</w:t>
      </w:r>
      <w:r w:rsidR="00D87645" w:rsidRPr="00D87645">
        <w:rPr>
          <w:rFonts w:ascii="Times New Roman" w:hAnsi="Times New Roman" w:cs="Times New Roman"/>
          <w:sz w:val="24"/>
          <w:szCs w:val="24"/>
        </w:rPr>
        <w:t xml:space="preserve"> на </w:t>
      </w:r>
      <w:r w:rsidR="00D87645" w:rsidRPr="00D87645">
        <w:rPr>
          <w:rFonts w:ascii="Times New Roman" w:hAnsi="Times New Roman" w:cs="Times New Roman"/>
          <w:bCs/>
          <w:sz w:val="24"/>
          <w:szCs w:val="24"/>
        </w:rPr>
        <w:t>Интегриран план в областта на енергетиката и климата на Република България - актуализация 2024 г.</w:t>
      </w:r>
      <w:r w:rsidRPr="00D87645">
        <w:rPr>
          <w:rFonts w:ascii="Times New Roman" w:eastAsia="Calibri" w:hAnsi="Times New Roman" w:cs="Times New Roman"/>
          <w:color w:val="FF0000"/>
          <w:sz w:val="24"/>
          <w:szCs w:val="24"/>
        </w:rPr>
        <w:t xml:space="preserve"> </w:t>
      </w:r>
      <w:r w:rsidRPr="00D87645">
        <w:rPr>
          <w:rFonts w:ascii="Times New Roman" w:eastAsia="Calibri" w:hAnsi="Times New Roman" w:cs="Times New Roman"/>
          <w:sz w:val="24"/>
          <w:szCs w:val="24"/>
        </w:rPr>
        <w:t xml:space="preserve">Писмото е публикувано на </w:t>
      </w:r>
      <w:r w:rsidRPr="006A236B">
        <w:rPr>
          <w:rFonts w:ascii="Times New Roman" w:eastAsia="Calibri" w:hAnsi="Times New Roman" w:cs="Times New Roman"/>
          <w:sz w:val="24"/>
          <w:szCs w:val="24"/>
        </w:rPr>
        <w:t xml:space="preserve">интернет страницата на Министерството на околната среда и водите на адрес: </w:t>
      </w:r>
      <w:r w:rsidR="00D87645" w:rsidRPr="006A236B">
        <w:rPr>
          <w:rFonts w:ascii="Times New Roman" w:hAnsi="Times New Roman" w:cs="Times New Roman"/>
          <w:sz w:val="24"/>
          <w:szCs w:val="24"/>
        </w:rPr>
        <w:t>https://registers.moew.government.bg/eo/lot/48025</w:t>
      </w:r>
      <w:r w:rsidRPr="006A236B">
        <w:rPr>
          <w:rFonts w:ascii="Times New Roman" w:eastAsia="Calibri" w:hAnsi="Times New Roman" w:cs="Times New Roman"/>
          <w:sz w:val="24"/>
          <w:szCs w:val="24"/>
        </w:rPr>
        <w:t>.</w:t>
      </w:r>
    </w:p>
    <w:p w14:paraId="23190F79" w14:textId="354EC6F8" w:rsidR="008142D2" w:rsidRPr="00D87645" w:rsidRDefault="008142D2" w:rsidP="00D87645">
      <w:pPr>
        <w:spacing w:after="0" w:line="276" w:lineRule="auto"/>
        <w:ind w:firstLine="720"/>
        <w:jc w:val="both"/>
        <w:rPr>
          <w:rFonts w:ascii="Times New Roman" w:eastAsia="Calibri" w:hAnsi="Times New Roman" w:cs="Times New Roman"/>
          <w:sz w:val="24"/>
          <w:szCs w:val="24"/>
        </w:rPr>
      </w:pPr>
      <w:r w:rsidRPr="006A236B">
        <w:rPr>
          <w:rFonts w:ascii="Times New Roman" w:eastAsia="Calibri" w:hAnsi="Times New Roman" w:cs="Times New Roman"/>
          <w:sz w:val="24"/>
          <w:szCs w:val="24"/>
        </w:rPr>
        <w:t>Съгласно чл. 19, ал. 1, ал. 3 и ал. 4 от Наредб</w:t>
      </w:r>
      <w:r w:rsidRPr="00D87645">
        <w:rPr>
          <w:rFonts w:ascii="Times New Roman" w:eastAsia="Calibri" w:hAnsi="Times New Roman" w:cs="Times New Roman"/>
          <w:sz w:val="24"/>
          <w:szCs w:val="24"/>
        </w:rPr>
        <w:t xml:space="preserve">ата за ЕО, през различните фази на </w:t>
      </w:r>
      <w:r w:rsidR="009D1C67">
        <w:rPr>
          <w:rFonts w:ascii="Times New Roman" w:eastAsia="Calibri" w:hAnsi="Times New Roman" w:cs="Times New Roman"/>
          <w:sz w:val="24"/>
          <w:szCs w:val="24"/>
        </w:rPr>
        <w:t>оценка</w:t>
      </w:r>
      <w:r w:rsidRPr="00D87645">
        <w:rPr>
          <w:rFonts w:ascii="Times New Roman" w:eastAsia="Calibri" w:hAnsi="Times New Roman" w:cs="Times New Roman"/>
          <w:sz w:val="24"/>
          <w:szCs w:val="24"/>
        </w:rPr>
        <w:t xml:space="preserve"> на проекта на </w:t>
      </w:r>
      <w:r w:rsidR="00D87645" w:rsidRPr="00D87645">
        <w:rPr>
          <w:rFonts w:ascii="Times New Roman" w:hAnsi="Times New Roman" w:cs="Times New Roman"/>
          <w:bCs/>
          <w:sz w:val="24"/>
          <w:szCs w:val="24"/>
        </w:rPr>
        <w:t>Интегриран план в областта на енергетиката и климата на Република България - актуализация 2024 г.</w:t>
      </w:r>
      <w:r w:rsidR="00D87645" w:rsidRPr="00D87645">
        <w:rPr>
          <w:rFonts w:ascii="Times New Roman" w:hAnsi="Times New Roman" w:cs="Times New Roman"/>
          <w:bCs/>
          <w:i/>
          <w:sz w:val="24"/>
          <w:szCs w:val="24"/>
        </w:rPr>
        <w:t xml:space="preserve"> </w:t>
      </w:r>
      <w:r w:rsidRPr="00D87645">
        <w:rPr>
          <w:rFonts w:ascii="Times New Roman" w:eastAsia="Calibri" w:hAnsi="Times New Roman" w:cs="Times New Roman"/>
          <w:sz w:val="24"/>
          <w:szCs w:val="24"/>
        </w:rPr>
        <w:t xml:space="preserve">и ЕО, Възложителят ще проведе консултации с обществеността, заинтересованите органи и трети лица, които могат да бъдат засегнати от реализирането на </w:t>
      </w:r>
      <w:r w:rsidR="00D87645" w:rsidRPr="00D87645">
        <w:rPr>
          <w:rFonts w:ascii="Times New Roman" w:eastAsia="Calibri" w:hAnsi="Times New Roman" w:cs="Times New Roman"/>
          <w:sz w:val="24"/>
          <w:szCs w:val="24"/>
        </w:rPr>
        <w:t>плана</w:t>
      </w:r>
      <w:r w:rsidRPr="00D87645">
        <w:rPr>
          <w:rFonts w:ascii="Times New Roman" w:eastAsia="Calibri" w:hAnsi="Times New Roman" w:cs="Times New Roman"/>
          <w:sz w:val="24"/>
          <w:szCs w:val="24"/>
        </w:rPr>
        <w:t>, с цел получаване и съобразяване на техните становища и бележки, по схема, която е изготвена като отделен документ.</w:t>
      </w:r>
    </w:p>
    <w:p w14:paraId="13736A01" w14:textId="77777777" w:rsidR="006A236B" w:rsidRPr="006A236B" w:rsidRDefault="006A236B" w:rsidP="006A236B">
      <w:pPr>
        <w:spacing w:after="0" w:line="276" w:lineRule="auto"/>
        <w:ind w:firstLine="709"/>
        <w:jc w:val="both"/>
        <w:rPr>
          <w:rFonts w:ascii="Times New Roman" w:hAnsi="Times New Roman" w:cs="Times New Roman"/>
          <w:sz w:val="24"/>
          <w:szCs w:val="24"/>
        </w:rPr>
      </w:pPr>
      <w:r w:rsidRPr="006A236B">
        <w:rPr>
          <w:rFonts w:ascii="Times New Roman" w:hAnsi="Times New Roman" w:cs="Times New Roman"/>
          <w:sz w:val="24"/>
          <w:szCs w:val="24"/>
        </w:rPr>
        <w:t>Съгласно чл.19а от Наредбата за ЕО, се изготвя и настоящото Задание за определяне на обхвата и съдържанието на ЕО. Заданието за определяне на обхвата и съдържанието на ЕО се предоставя за консултации на всички идентифицирани като засегнати и заинтересовани страни в схемата за провеждане на консултации:</w:t>
      </w:r>
    </w:p>
    <w:p w14:paraId="2E4B0835" w14:textId="77777777" w:rsidR="009D1C67" w:rsidRPr="009D1C67" w:rsidRDefault="009D1C67" w:rsidP="009D1C67">
      <w:pPr>
        <w:spacing w:after="0" w:line="276" w:lineRule="auto"/>
        <w:ind w:firstLine="709"/>
        <w:jc w:val="both"/>
        <w:rPr>
          <w:rFonts w:ascii="Times New Roman" w:eastAsia="Calibri" w:hAnsi="Times New Roman" w:cs="Times New Roman"/>
          <w:sz w:val="24"/>
          <w:szCs w:val="24"/>
        </w:rPr>
      </w:pPr>
      <w:r w:rsidRPr="009D1C67">
        <w:rPr>
          <w:rFonts w:ascii="Times New Roman" w:eastAsia="Calibri" w:hAnsi="Times New Roman" w:cs="Times New Roman"/>
          <w:sz w:val="24"/>
          <w:szCs w:val="24"/>
        </w:rPr>
        <w:t>1.</w:t>
      </w:r>
      <w:r w:rsidRPr="009D1C67">
        <w:rPr>
          <w:rFonts w:ascii="Times New Roman" w:eastAsia="Calibri" w:hAnsi="Times New Roman" w:cs="Times New Roman"/>
          <w:sz w:val="24"/>
          <w:szCs w:val="24"/>
        </w:rPr>
        <w:tab/>
        <w:t xml:space="preserve">Министерството на околната среда и водите; </w:t>
      </w:r>
    </w:p>
    <w:p w14:paraId="0F86A1F0" w14:textId="77777777" w:rsidR="009D1C67" w:rsidRPr="009D1C67" w:rsidRDefault="009D1C67" w:rsidP="009D1C67">
      <w:pPr>
        <w:spacing w:after="0" w:line="276" w:lineRule="auto"/>
        <w:ind w:firstLine="709"/>
        <w:jc w:val="both"/>
        <w:rPr>
          <w:rFonts w:ascii="Times New Roman" w:eastAsia="Calibri" w:hAnsi="Times New Roman" w:cs="Times New Roman"/>
          <w:sz w:val="24"/>
          <w:szCs w:val="24"/>
        </w:rPr>
      </w:pPr>
      <w:r w:rsidRPr="009D1C67">
        <w:rPr>
          <w:rFonts w:ascii="Times New Roman" w:eastAsia="Calibri" w:hAnsi="Times New Roman" w:cs="Times New Roman"/>
          <w:sz w:val="24"/>
          <w:szCs w:val="24"/>
        </w:rPr>
        <w:t>2.</w:t>
      </w:r>
      <w:r w:rsidRPr="009D1C67">
        <w:rPr>
          <w:rFonts w:ascii="Times New Roman" w:eastAsia="Calibri" w:hAnsi="Times New Roman" w:cs="Times New Roman"/>
          <w:sz w:val="24"/>
          <w:szCs w:val="24"/>
        </w:rPr>
        <w:tab/>
        <w:t xml:space="preserve">Министерството на енергетиката; </w:t>
      </w:r>
    </w:p>
    <w:p w14:paraId="3AFF2F02" w14:textId="77777777" w:rsidR="009D1C67" w:rsidRPr="009D1C67" w:rsidRDefault="009D1C67" w:rsidP="009D1C67">
      <w:pPr>
        <w:spacing w:after="0" w:line="276" w:lineRule="auto"/>
        <w:ind w:firstLine="709"/>
        <w:jc w:val="both"/>
        <w:rPr>
          <w:rFonts w:ascii="Times New Roman" w:eastAsia="Calibri" w:hAnsi="Times New Roman" w:cs="Times New Roman"/>
          <w:sz w:val="24"/>
          <w:szCs w:val="24"/>
        </w:rPr>
      </w:pPr>
      <w:r w:rsidRPr="009D1C67">
        <w:rPr>
          <w:rFonts w:ascii="Times New Roman" w:eastAsia="Calibri" w:hAnsi="Times New Roman" w:cs="Times New Roman"/>
          <w:sz w:val="24"/>
          <w:szCs w:val="24"/>
        </w:rPr>
        <w:t>3.</w:t>
      </w:r>
      <w:r w:rsidRPr="009D1C67">
        <w:rPr>
          <w:rFonts w:ascii="Times New Roman" w:eastAsia="Calibri" w:hAnsi="Times New Roman" w:cs="Times New Roman"/>
          <w:sz w:val="24"/>
          <w:szCs w:val="24"/>
        </w:rPr>
        <w:tab/>
        <w:t xml:space="preserve">Министерството на здравеопазването; </w:t>
      </w:r>
    </w:p>
    <w:p w14:paraId="6ABB29C1" w14:textId="1E409320" w:rsidR="009D1C67" w:rsidRPr="009D1C67" w:rsidRDefault="009D1C67" w:rsidP="009D1C67">
      <w:pPr>
        <w:spacing w:after="0" w:line="276" w:lineRule="auto"/>
        <w:ind w:firstLine="709"/>
        <w:jc w:val="both"/>
        <w:rPr>
          <w:rFonts w:ascii="Times New Roman" w:eastAsia="Calibri" w:hAnsi="Times New Roman" w:cs="Times New Roman"/>
          <w:sz w:val="24"/>
          <w:szCs w:val="24"/>
        </w:rPr>
      </w:pPr>
      <w:r w:rsidRPr="009D1C67">
        <w:rPr>
          <w:rFonts w:ascii="Times New Roman" w:eastAsia="Calibri" w:hAnsi="Times New Roman" w:cs="Times New Roman"/>
          <w:sz w:val="24"/>
          <w:szCs w:val="24"/>
        </w:rPr>
        <w:t>4.</w:t>
      </w:r>
      <w:r w:rsidRPr="009D1C67">
        <w:rPr>
          <w:rFonts w:ascii="Times New Roman" w:eastAsia="Calibri" w:hAnsi="Times New Roman" w:cs="Times New Roman"/>
          <w:sz w:val="24"/>
          <w:szCs w:val="24"/>
        </w:rPr>
        <w:tab/>
        <w:t>Министерство на транспорта и съобщенията</w:t>
      </w:r>
      <w:r w:rsidR="00D40142">
        <w:rPr>
          <w:rFonts w:ascii="Times New Roman" w:eastAsia="Calibri" w:hAnsi="Times New Roman" w:cs="Times New Roman"/>
          <w:sz w:val="24"/>
          <w:szCs w:val="24"/>
        </w:rPr>
        <w:t>;</w:t>
      </w:r>
    </w:p>
    <w:p w14:paraId="293DBCA3" w14:textId="0B56E26E" w:rsidR="009D1C67" w:rsidRPr="009D1C67" w:rsidRDefault="009D1C67" w:rsidP="009D1C67">
      <w:pPr>
        <w:spacing w:after="0" w:line="276" w:lineRule="auto"/>
        <w:ind w:firstLine="709"/>
        <w:jc w:val="both"/>
        <w:rPr>
          <w:rFonts w:ascii="Times New Roman" w:eastAsia="Calibri" w:hAnsi="Times New Roman" w:cs="Times New Roman"/>
          <w:sz w:val="24"/>
          <w:szCs w:val="24"/>
        </w:rPr>
      </w:pPr>
      <w:r w:rsidRPr="009D1C67">
        <w:rPr>
          <w:rFonts w:ascii="Times New Roman" w:eastAsia="Calibri" w:hAnsi="Times New Roman" w:cs="Times New Roman"/>
          <w:sz w:val="24"/>
          <w:szCs w:val="24"/>
        </w:rPr>
        <w:t>5.</w:t>
      </w:r>
      <w:r w:rsidRPr="009D1C67">
        <w:rPr>
          <w:rFonts w:ascii="Times New Roman" w:eastAsia="Calibri" w:hAnsi="Times New Roman" w:cs="Times New Roman"/>
          <w:sz w:val="24"/>
          <w:szCs w:val="24"/>
        </w:rPr>
        <w:tab/>
        <w:t>Министерство на икономиката</w:t>
      </w:r>
      <w:r w:rsidR="00D40142">
        <w:rPr>
          <w:rFonts w:ascii="Times New Roman" w:eastAsia="Calibri" w:hAnsi="Times New Roman" w:cs="Times New Roman"/>
          <w:sz w:val="24"/>
          <w:szCs w:val="24"/>
        </w:rPr>
        <w:t>;</w:t>
      </w:r>
    </w:p>
    <w:p w14:paraId="407A85CB" w14:textId="72AF662F" w:rsidR="009D1C67" w:rsidRPr="009D1C67" w:rsidRDefault="009D1C67" w:rsidP="009D1C67">
      <w:pPr>
        <w:spacing w:after="0" w:line="276" w:lineRule="auto"/>
        <w:ind w:firstLine="709"/>
        <w:jc w:val="both"/>
        <w:rPr>
          <w:rFonts w:ascii="Times New Roman" w:eastAsia="Calibri" w:hAnsi="Times New Roman" w:cs="Times New Roman"/>
          <w:sz w:val="24"/>
          <w:szCs w:val="24"/>
        </w:rPr>
      </w:pPr>
      <w:r w:rsidRPr="009D1C67">
        <w:rPr>
          <w:rFonts w:ascii="Times New Roman" w:eastAsia="Calibri" w:hAnsi="Times New Roman" w:cs="Times New Roman"/>
          <w:sz w:val="24"/>
          <w:szCs w:val="24"/>
        </w:rPr>
        <w:t>6.</w:t>
      </w:r>
      <w:r w:rsidRPr="009D1C67">
        <w:rPr>
          <w:rFonts w:ascii="Times New Roman" w:eastAsia="Calibri" w:hAnsi="Times New Roman" w:cs="Times New Roman"/>
          <w:sz w:val="24"/>
          <w:szCs w:val="24"/>
        </w:rPr>
        <w:tab/>
        <w:t>Министерството на регионалното развитие и благоустройството</w:t>
      </w:r>
      <w:r w:rsidR="00D40142">
        <w:rPr>
          <w:rFonts w:ascii="Times New Roman" w:eastAsia="Calibri" w:hAnsi="Times New Roman" w:cs="Times New Roman"/>
          <w:sz w:val="24"/>
          <w:szCs w:val="24"/>
        </w:rPr>
        <w:t>;</w:t>
      </w:r>
    </w:p>
    <w:p w14:paraId="376B88A6" w14:textId="00D8EF0C" w:rsidR="009D1C67" w:rsidRPr="009D1C67" w:rsidRDefault="009D1C67" w:rsidP="009D1C67">
      <w:pPr>
        <w:spacing w:after="0" w:line="276" w:lineRule="auto"/>
        <w:ind w:firstLine="709"/>
        <w:jc w:val="both"/>
        <w:rPr>
          <w:rFonts w:ascii="Times New Roman" w:eastAsia="Calibri" w:hAnsi="Times New Roman" w:cs="Times New Roman"/>
          <w:sz w:val="24"/>
          <w:szCs w:val="24"/>
        </w:rPr>
      </w:pPr>
      <w:r w:rsidRPr="009D1C67">
        <w:rPr>
          <w:rFonts w:ascii="Times New Roman" w:eastAsia="Calibri" w:hAnsi="Times New Roman" w:cs="Times New Roman"/>
          <w:sz w:val="24"/>
          <w:szCs w:val="24"/>
        </w:rPr>
        <w:t>7.</w:t>
      </w:r>
      <w:r w:rsidRPr="009D1C67">
        <w:rPr>
          <w:rFonts w:ascii="Times New Roman" w:eastAsia="Calibri" w:hAnsi="Times New Roman" w:cs="Times New Roman"/>
          <w:sz w:val="24"/>
          <w:szCs w:val="24"/>
        </w:rPr>
        <w:tab/>
        <w:t>Министерство на земеделието и храните</w:t>
      </w:r>
      <w:r w:rsidR="00D40142">
        <w:rPr>
          <w:rFonts w:ascii="Times New Roman" w:eastAsia="Calibri" w:hAnsi="Times New Roman" w:cs="Times New Roman"/>
          <w:sz w:val="24"/>
          <w:szCs w:val="24"/>
        </w:rPr>
        <w:t>;</w:t>
      </w:r>
    </w:p>
    <w:p w14:paraId="33662238" w14:textId="16E0ABCE" w:rsidR="009D1C67" w:rsidRPr="009D1C67" w:rsidRDefault="009D1C67" w:rsidP="009D1C67">
      <w:pPr>
        <w:spacing w:after="0" w:line="276" w:lineRule="auto"/>
        <w:ind w:firstLine="709"/>
        <w:jc w:val="both"/>
        <w:rPr>
          <w:rFonts w:ascii="Times New Roman" w:eastAsia="Calibri" w:hAnsi="Times New Roman" w:cs="Times New Roman"/>
          <w:sz w:val="24"/>
          <w:szCs w:val="24"/>
        </w:rPr>
      </w:pPr>
      <w:r w:rsidRPr="009D1C67">
        <w:rPr>
          <w:rFonts w:ascii="Times New Roman" w:eastAsia="Calibri" w:hAnsi="Times New Roman" w:cs="Times New Roman"/>
          <w:sz w:val="24"/>
          <w:szCs w:val="24"/>
        </w:rPr>
        <w:t>8.</w:t>
      </w:r>
      <w:r w:rsidRPr="009D1C67">
        <w:rPr>
          <w:rFonts w:ascii="Times New Roman" w:eastAsia="Calibri" w:hAnsi="Times New Roman" w:cs="Times New Roman"/>
          <w:sz w:val="24"/>
          <w:szCs w:val="24"/>
        </w:rPr>
        <w:tab/>
        <w:t>Изпълнителната агенция по околна среда</w:t>
      </w:r>
      <w:r w:rsidR="00D40142">
        <w:rPr>
          <w:rFonts w:ascii="Times New Roman" w:eastAsia="Calibri" w:hAnsi="Times New Roman" w:cs="Times New Roman"/>
          <w:sz w:val="24"/>
          <w:szCs w:val="24"/>
        </w:rPr>
        <w:t>;</w:t>
      </w:r>
    </w:p>
    <w:p w14:paraId="703B96FB" w14:textId="450A3E1B" w:rsidR="009D1C67" w:rsidRPr="009D1C67" w:rsidRDefault="009D1C67" w:rsidP="009D1C67">
      <w:pPr>
        <w:spacing w:after="0" w:line="276" w:lineRule="auto"/>
        <w:ind w:firstLine="709"/>
        <w:jc w:val="both"/>
        <w:rPr>
          <w:rFonts w:ascii="Times New Roman" w:eastAsia="Calibri" w:hAnsi="Times New Roman" w:cs="Times New Roman"/>
          <w:sz w:val="24"/>
          <w:szCs w:val="24"/>
        </w:rPr>
      </w:pPr>
      <w:r w:rsidRPr="009D1C67">
        <w:rPr>
          <w:rFonts w:ascii="Times New Roman" w:eastAsia="Calibri" w:hAnsi="Times New Roman" w:cs="Times New Roman"/>
          <w:sz w:val="24"/>
          <w:szCs w:val="24"/>
        </w:rPr>
        <w:t>9.</w:t>
      </w:r>
      <w:r w:rsidRPr="009D1C67">
        <w:rPr>
          <w:rFonts w:ascii="Times New Roman" w:eastAsia="Calibri" w:hAnsi="Times New Roman" w:cs="Times New Roman"/>
          <w:sz w:val="24"/>
          <w:szCs w:val="24"/>
        </w:rPr>
        <w:tab/>
        <w:t xml:space="preserve">Изпълнителната агенция по горите </w:t>
      </w:r>
      <w:r w:rsidR="00D40142">
        <w:rPr>
          <w:rFonts w:ascii="Times New Roman" w:eastAsia="Calibri" w:hAnsi="Times New Roman" w:cs="Times New Roman"/>
          <w:sz w:val="24"/>
          <w:szCs w:val="24"/>
        </w:rPr>
        <w:t>;</w:t>
      </w:r>
    </w:p>
    <w:p w14:paraId="391C16D1" w14:textId="51DFB3A2" w:rsidR="009D1C67" w:rsidRPr="009D1C67" w:rsidRDefault="009D1C67" w:rsidP="009D1C67">
      <w:pPr>
        <w:spacing w:after="0" w:line="276" w:lineRule="auto"/>
        <w:ind w:firstLine="709"/>
        <w:jc w:val="both"/>
        <w:rPr>
          <w:rFonts w:ascii="Times New Roman" w:eastAsia="Calibri" w:hAnsi="Times New Roman" w:cs="Times New Roman"/>
          <w:sz w:val="24"/>
          <w:szCs w:val="24"/>
        </w:rPr>
      </w:pPr>
      <w:r w:rsidRPr="009D1C67">
        <w:rPr>
          <w:rFonts w:ascii="Times New Roman" w:eastAsia="Calibri" w:hAnsi="Times New Roman" w:cs="Times New Roman"/>
          <w:sz w:val="24"/>
          <w:szCs w:val="24"/>
        </w:rPr>
        <w:t>10.</w:t>
      </w:r>
      <w:r w:rsidRPr="009D1C67">
        <w:rPr>
          <w:rFonts w:ascii="Times New Roman" w:eastAsia="Calibri" w:hAnsi="Times New Roman" w:cs="Times New Roman"/>
          <w:sz w:val="24"/>
          <w:szCs w:val="24"/>
        </w:rPr>
        <w:tab/>
        <w:t>Басейновите дирекции за управление на водите /БДУВ/ (4 на брой: Дунавски район, Черноморски район, Източнобеломорски район и Западнобеломорски район)</w:t>
      </w:r>
      <w:r w:rsidR="00D40142">
        <w:rPr>
          <w:rFonts w:ascii="Times New Roman" w:eastAsia="Calibri" w:hAnsi="Times New Roman" w:cs="Times New Roman"/>
          <w:sz w:val="24"/>
          <w:szCs w:val="24"/>
        </w:rPr>
        <w:t>;</w:t>
      </w:r>
    </w:p>
    <w:p w14:paraId="05A41EAE" w14:textId="3B5BC133" w:rsidR="009D1C67" w:rsidRPr="009D1C67" w:rsidRDefault="009D1C67" w:rsidP="009D1C67">
      <w:pPr>
        <w:spacing w:after="0" w:line="276" w:lineRule="auto"/>
        <w:ind w:firstLine="709"/>
        <w:jc w:val="both"/>
        <w:rPr>
          <w:rFonts w:ascii="Times New Roman" w:eastAsia="Calibri" w:hAnsi="Times New Roman" w:cs="Times New Roman"/>
          <w:sz w:val="24"/>
          <w:szCs w:val="24"/>
        </w:rPr>
      </w:pPr>
      <w:r w:rsidRPr="009D1C67">
        <w:rPr>
          <w:rFonts w:ascii="Times New Roman" w:eastAsia="Calibri" w:hAnsi="Times New Roman" w:cs="Times New Roman"/>
          <w:sz w:val="24"/>
          <w:szCs w:val="24"/>
        </w:rPr>
        <w:t>11.</w:t>
      </w:r>
      <w:r w:rsidRPr="009D1C67">
        <w:rPr>
          <w:rFonts w:ascii="Times New Roman" w:eastAsia="Calibri" w:hAnsi="Times New Roman" w:cs="Times New Roman"/>
          <w:sz w:val="24"/>
          <w:szCs w:val="24"/>
        </w:rPr>
        <w:tab/>
        <w:t xml:space="preserve"> Регионални инспекции по околна среда и води /РИОСВ/ (15 на брой: София, Враца, Монтана, Русе, Плевен, Шумен, Варна, Бургас, Смолян, Хасково, Стара Загора, Пазарджик, Пловдив, Благоевград и Велико Търново)</w:t>
      </w:r>
      <w:r w:rsidR="00D40142">
        <w:rPr>
          <w:rFonts w:ascii="Times New Roman" w:eastAsia="Calibri" w:hAnsi="Times New Roman" w:cs="Times New Roman"/>
          <w:sz w:val="24"/>
          <w:szCs w:val="24"/>
        </w:rPr>
        <w:t>;</w:t>
      </w:r>
    </w:p>
    <w:p w14:paraId="0439A905" w14:textId="20398D23" w:rsidR="009D1C67" w:rsidRPr="009D1C67" w:rsidRDefault="009D1C67" w:rsidP="009D1C67">
      <w:pPr>
        <w:spacing w:after="0" w:line="276" w:lineRule="auto"/>
        <w:ind w:firstLine="709"/>
        <w:jc w:val="both"/>
        <w:rPr>
          <w:rFonts w:ascii="Times New Roman" w:eastAsia="Calibri" w:hAnsi="Times New Roman" w:cs="Times New Roman"/>
          <w:sz w:val="24"/>
          <w:szCs w:val="24"/>
        </w:rPr>
      </w:pPr>
      <w:r w:rsidRPr="009D1C67">
        <w:rPr>
          <w:rFonts w:ascii="Times New Roman" w:eastAsia="Calibri" w:hAnsi="Times New Roman" w:cs="Times New Roman"/>
          <w:sz w:val="24"/>
          <w:szCs w:val="24"/>
        </w:rPr>
        <w:t>12.</w:t>
      </w:r>
      <w:r w:rsidRPr="009D1C67">
        <w:rPr>
          <w:rFonts w:ascii="Times New Roman" w:eastAsia="Calibri" w:hAnsi="Times New Roman" w:cs="Times New Roman"/>
          <w:sz w:val="24"/>
          <w:szCs w:val="24"/>
        </w:rPr>
        <w:tab/>
        <w:t xml:space="preserve">Националния институт по метеорология и хидрология; </w:t>
      </w:r>
    </w:p>
    <w:p w14:paraId="3315D3F3" w14:textId="77777777" w:rsidR="009D1C67" w:rsidRPr="009D1C67" w:rsidRDefault="009D1C67" w:rsidP="009D1C67">
      <w:pPr>
        <w:spacing w:after="0" w:line="276" w:lineRule="auto"/>
        <w:ind w:firstLine="709"/>
        <w:jc w:val="both"/>
        <w:rPr>
          <w:rFonts w:ascii="Times New Roman" w:eastAsia="Calibri" w:hAnsi="Times New Roman" w:cs="Times New Roman"/>
          <w:sz w:val="24"/>
          <w:szCs w:val="24"/>
        </w:rPr>
      </w:pPr>
      <w:r w:rsidRPr="009D1C67">
        <w:rPr>
          <w:rFonts w:ascii="Times New Roman" w:eastAsia="Calibri" w:hAnsi="Times New Roman" w:cs="Times New Roman"/>
          <w:sz w:val="24"/>
          <w:szCs w:val="24"/>
        </w:rPr>
        <w:t>13.</w:t>
      </w:r>
      <w:r w:rsidRPr="009D1C67">
        <w:rPr>
          <w:rFonts w:ascii="Times New Roman" w:eastAsia="Calibri" w:hAnsi="Times New Roman" w:cs="Times New Roman"/>
          <w:sz w:val="24"/>
          <w:szCs w:val="24"/>
        </w:rPr>
        <w:tab/>
        <w:t>Технически университет;</w:t>
      </w:r>
    </w:p>
    <w:p w14:paraId="6770CE6B" w14:textId="77777777" w:rsidR="009D1C67" w:rsidRPr="009D1C67" w:rsidRDefault="009D1C67" w:rsidP="009D1C67">
      <w:pPr>
        <w:spacing w:after="0" w:line="276" w:lineRule="auto"/>
        <w:ind w:firstLine="709"/>
        <w:jc w:val="both"/>
        <w:rPr>
          <w:rFonts w:ascii="Times New Roman" w:eastAsia="Calibri" w:hAnsi="Times New Roman" w:cs="Times New Roman"/>
          <w:sz w:val="24"/>
          <w:szCs w:val="24"/>
        </w:rPr>
      </w:pPr>
      <w:r w:rsidRPr="009D1C67">
        <w:rPr>
          <w:rFonts w:ascii="Times New Roman" w:eastAsia="Calibri" w:hAnsi="Times New Roman" w:cs="Times New Roman"/>
          <w:sz w:val="24"/>
          <w:szCs w:val="24"/>
        </w:rPr>
        <w:t>14.</w:t>
      </w:r>
      <w:r w:rsidRPr="009D1C67">
        <w:rPr>
          <w:rFonts w:ascii="Times New Roman" w:eastAsia="Calibri" w:hAnsi="Times New Roman" w:cs="Times New Roman"/>
          <w:sz w:val="24"/>
          <w:szCs w:val="24"/>
        </w:rPr>
        <w:tab/>
        <w:t>Химико-технологичен и металургичен университет;</w:t>
      </w:r>
    </w:p>
    <w:p w14:paraId="6DABC11A" w14:textId="77777777" w:rsidR="009D1C67" w:rsidRPr="009D1C67" w:rsidRDefault="009D1C67" w:rsidP="009D1C67">
      <w:pPr>
        <w:spacing w:after="0" w:line="276" w:lineRule="auto"/>
        <w:ind w:firstLine="709"/>
        <w:jc w:val="both"/>
        <w:rPr>
          <w:rFonts w:ascii="Times New Roman" w:eastAsia="Calibri" w:hAnsi="Times New Roman" w:cs="Times New Roman"/>
          <w:sz w:val="24"/>
          <w:szCs w:val="24"/>
        </w:rPr>
      </w:pPr>
      <w:r w:rsidRPr="009D1C67">
        <w:rPr>
          <w:rFonts w:ascii="Times New Roman" w:eastAsia="Calibri" w:hAnsi="Times New Roman" w:cs="Times New Roman"/>
          <w:sz w:val="24"/>
          <w:szCs w:val="24"/>
        </w:rPr>
        <w:lastRenderedPageBreak/>
        <w:t>15.</w:t>
      </w:r>
      <w:r w:rsidRPr="009D1C67">
        <w:rPr>
          <w:rFonts w:ascii="Times New Roman" w:eastAsia="Calibri" w:hAnsi="Times New Roman" w:cs="Times New Roman"/>
          <w:sz w:val="24"/>
          <w:szCs w:val="24"/>
        </w:rPr>
        <w:tab/>
        <w:t>Минно-геоложки университет;</w:t>
      </w:r>
    </w:p>
    <w:p w14:paraId="711BE14D" w14:textId="77777777" w:rsidR="009D1C67" w:rsidRPr="009D1C67" w:rsidRDefault="009D1C67" w:rsidP="00931B4E">
      <w:pPr>
        <w:spacing w:after="0" w:line="276" w:lineRule="auto"/>
        <w:ind w:left="709"/>
        <w:jc w:val="both"/>
        <w:rPr>
          <w:rFonts w:ascii="Times New Roman" w:eastAsia="Calibri" w:hAnsi="Times New Roman" w:cs="Times New Roman"/>
          <w:sz w:val="24"/>
          <w:szCs w:val="24"/>
        </w:rPr>
      </w:pPr>
      <w:r w:rsidRPr="009D1C67">
        <w:rPr>
          <w:rFonts w:ascii="Times New Roman" w:eastAsia="Calibri" w:hAnsi="Times New Roman" w:cs="Times New Roman"/>
          <w:sz w:val="24"/>
          <w:szCs w:val="24"/>
        </w:rPr>
        <w:t>16.</w:t>
      </w:r>
      <w:r w:rsidRPr="009D1C67">
        <w:rPr>
          <w:rFonts w:ascii="Times New Roman" w:eastAsia="Calibri" w:hAnsi="Times New Roman" w:cs="Times New Roman"/>
          <w:sz w:val="24"/>
          <w:szCs w:val="24"/>
        </w:rPr>
        <w:tab/>
        <w:t>Институт по почвознание, агротехнологии и защита на растенията „Николай Пушкаров“ към Селскостопанската академия;</w:t>
      </w:r>
    </w:p>
    <w:p w14:paraId="559F45AD" w14:textId="77777777" w:rsidR="009D1C67" w:rsidRPr="009D1C67" w:rsidRDefault="009D1C67" w:rsidP="009D1C67">
      <w:pPr>
        <w:spacing w:after="0" w:line="276" w:lineRule="auto"/>
        <w:ind w:firstLine="709"/>
        <w:jc w:val="both"/>
        <w:rPr>
          <w:rFonts w:ascii="Times New Roman" w:eastAsia="Calibri" w:hAnsi="Times New Roman" w:cs="Times New Roman"/>
          <w:sz w:val="24"/>
          <w:szCs w:val="24"/>
        </w:rPr>
      </w:pPr>
      <w:r w:rsidRPr="009D1C67">
        <w:rPr>
          <w:rFonts w:ascii="Times New Roman" w:eastAsia="Calibri" w:hAnsi="Times New Roman" w:cs="Times New Roman"/>
          <w:sz w:val="24"/>
          <w:szCs w:val="24"/>
        </w:rPr>
        <w:t>17.</w:t>
      </w:r>
      <w:r w:rsidRPr="009D1C67">
        <w:rPr>
          <w:rFonts w:ascii="Times New Roman" w:eastAsia="Calibri" w:hAnsi="Times New Roman" w:cs="Times New Roman"/>
          <w:sz w:val="24"/>
          <w:szCs w:val="24"/>
        </w:rPr>
        <w:tab/>
        <w:t>Национално сдружение на общините в Република България;</w:t>
      </w:r>
    </w:p>
    <w:p w14:paraId="5A40DDAE" w14:textId="77777777" w:rsidR="009D1C67" w:rsidRPr="009D1C67" w:rsidRDefault="009D1C67" w:rsidP="009D1C67">
      <w:pPr>
        <w:spacing w:after="0" w:line="276" w:lineRule="auto"/>
        <w:ind w:firstLine="709"/>
        <w:jc w:val="both"/>
        <w:rPr>
          <w:rFonts w:ascii="Times New Roman" w:eastAsia="Calibri" w:hAnsi="Times New Roman" w:cs="Times New Roman"/>
          <w:sz w:val="24"/>
          <w:szCs w:val="24"/>
        </w:rPr>
      </w:pPr>
      <w:r w:rsidRPr="009D1C67">
        <w:rPr>
          <w:rFonts w:ascii="Times New Roman" w:eastAsia="Calibri" w:hAnsi="Times New Roman" w:cs="Times New Roman"/>
          <w:sz w:val="24"/>
          <w:szCs w:val="24"/>
        </w:rPr>
        <w:t>18.</w:t>
      </w:r>
      <w:r w:rsidRPr="009D1C67">
        <w:rPr>
          <w:rFonts w:ascii="Times New Roman" w:eastAsia="Calibri" w:hAnsi="Times New Roman" w:cs="Times New Roman"/>
          <w:sz w:val="24"/>
          <w:szCs w:val="24"/>
        </w:rPr>
        <w:tab/>
        <w:t>Конфедерация на труда „Подкрепа“;</w:t>
      </w:r>
    </w:p>
    <w:p w14:paraId="05854244" w14:textId="77777777" w:rsidR="009D1C67" w:rsidRPr="009D1C67" w:rsidRDefault="009D1C67" w:rsidP="009D1C67">
      <w:pPr>
        <w:spacing w:after="0" w:line="276" w:lineRule="auto"/>
        <w:ind w:firstLine="709"/>
        <w:jc w:val="both"/>
        <w:rPr>
          <w:rFonts w:ascii="Times New Roman" w:eastAsia="Calibri" w:hAnsi="Times New Roman" w:cs="Times New Roman"/>
          <w:sz w:val="24"/>
          <w:szCs w:val="24"/>
        </w:rPr>
      </w:pPr>
      <w:r w:rsidRPr="009D1C67">
        <w:rPr>
          <w:rFonts w:ascii="Times New Roman" w:eastAsia="Calibri" w:hAnsi="Times New Roman" w:cs="Times New Roman"/>
          <w:sz w:val="24"/>
          <w:szCs w:val="24"/>
        </w:rPr>
        <w:t>19.</w:t>
      </w:r>
      <w:r w:rsidRPr="009D1C67">
        <w:rPr>
          <w:rFonts w:ascii="Times New Roman" w:eastAsia="Calibri" w:hAnsi="Times New Roman" w:cs="Times New Roman"/>
          <w:sz w:val="24"/>
          <w:szCs w:val="24"/>
        </w:rPr>
        <w:tab/>
        <w:t>Конфедерация на независимите синдикати в България;</w:t>
      </w:r>
    </w:p>
    <w:p w14:paraId="644BED50" w14:textId="77777777" w:rsidR="009D1C67" w:rsidRPr="009D1C67" w:rsidRDefault="009D1C67" w:rsidP="009D1C67">
      <w:pPr>
        <w:spacing w:after="0" w:line="276" w:lineRule="auto"/>
        <w:ind w:firstLine="709"/>
        <w:jc w:val="both"/>
        <w:rPr>
          <w:rFonts w:ascii="Times New Roman" w:eastAsia="Calibri" w:hAnsi="Times New Roman" w:cs="Times New Roman"/>
          <w:sz w:val="24"/>
          <w:szCs w:val="24"/>
        </w:rPr>
      </w:pPr>
      <w:r w:rsidRPr="009D1C67">
        <w:rPr>
          <w:rFonts w:ascii="Times New Roman" w:eastAsia="Calibri" w:hAnsi="Times New Roman" w:cs="Times New Roman"/>
          <w:sz w:val="24"/>
          <w:szCs w:val="24"/>
        </w:rPr>
        <w:t>20.</w:t>
      </w:r>
      <w:r w:rsidRPr="009D1C67">
        <w:rPr>
          <w:rFonts w:ascii="Times New Roman" w:eastAsia="Calibri" w:hAnsi="Times New Roman" w:cs="Times New Roman"/>
          <w:sz w:val="24"/>
          <w:szCs w:val="24"/>
        </w:rPr>
        <w:tab/>
        <w:t>Българска стопанска камара;</w:t>
      </w:r>
    </w:p>
    <w:p w14:paraId="4FDC0242" w14:textId="77777777" w:rsidR="009D1C67" w:rsidRPr="009D1C67" w:rsidRDefault="009D1C67" w:rsidP="009D1C67">
      <w:pPr>
        <w:spacing w:after="0" w:line="276" w:lineRule="auto"/>
        <w:ind w:firstLine="709"/>
        <w:jc w:val="both"/>
        <w:rPr>
          <w:rFonts w:ascii="Times New Roman" w:eastAsia="Calibri" w:hAnsi="Times New Roman" w:cs="Times New Roman"/>
          <w:sz w:val="24"/>
          <w:szCs w:val="24"/>
        </w:rPr>
      </w:pPr>
      <w:r w:rsidRPr="009D1C67">
        <w:rPr>
          <w:rFonts w:ascii="Times New Roman" w:eastAsia="Calibri" w:hAnsi="Times New Roman" w:cs="Times New Roman"/>
          <w:sz w:val="24"/>
          <w:szCs w:val="24"/>
        </w:rPr>
        <w:t>21.</w:t>
      </w:r>
      <w:r w:rsidRPr="009D1C67">
        <w:rPr>
          <w:rFonts w:ascii="Times New Roman" w:eastAsia="Calibri" w:hAnsi="Times New Roman" w:cs="Times New Roman"/>
          <w:sz w:val="24"/>
          <w:szCs w:val="24"/>
        </w:rPr>
        <w:tab/>
        <w:t>Българска търговско-промишлена палата;</w:t>
      </w:r>
    </w:p>
    <w:p w14:paraId="464F82E8" w14:textId="77777777" w:rsidR="009D1C67" w:rsidRPr="009D1C67" w:rsidRDefault="009D1C67" w:rsidP="009D1C67">
      <w:pPr>
        <w:spacing w:after="0" w:line="276" w:lineRule="auto"/>
        <w:ind w:firstLine="709"/>
        <w:jc w:val="both"/>
        <w:rPr>
          <w:rFonts w:ascii="Times New Roman" w:eastAsia="Calibri" w:hAnsi="Times New Roman" w:cs="Times New Roman"/>
          <w:sz w:val="24"/>
          <w:szCs w:val="24"/>
        </w:rPr>
      </w:pPr>
      <w:r w:rsidRPr="009D1C67">
        <w:rPr>
          <w:rFonts w:ascii="Times New Roman" w:eastAsia="Calibri" w:hAnsi="Times New Roman" w:cs="Times New Roman"/>
          <w:sz w:val="24"/>
          <w:szCs w:val="24"/>
        </w:rPr>
        <w:t>22.</w:t>
      </w:r>
      <w:r w:rsidRPr="009D1C67">
        <w:rPr>
          <w:rFonts w:ascii="Times New Roman" w:eastAsia="Calibri" w:hAnsi="Times New Roman" w:cs="Times New Roman"/>
          <w:sz w:val="24"/>
          <w:szCs w:val="24"/>
        </w:rPr>
        <w:tab/>
        <w:t>Асоциация на индустриалния капитал в България</w:t>
      </w:r>
    </w:p>
    <w:p w14:paraId="735DCB74" w14:textId="77777777" w:rsidR="009D1C67" w:rsidRPr="009D1C67" w:rsidRDefault="009D1C67" w:rsidP="009D1C67">
      <w:pPr>
        <w:spacing w:after="0" w:line="276" w:lineRule="auto"/>
        <w:ind w:firstLine="709"/>
        <w:jc w:val="both"/>
        <w:rPr>
          <w:rFonts w:ascii="Times New Roman" w:eastAsia="Calibri" w:hAnsi="Times New Roman" w:cs="Times New Roman"/>
          <w:sz w:val="24"/>
          <w:szCs w:val="24"/>
        </w:rPr>
      </w:pPr>
      <w:r w:rsidRPr="009D1C67">
        <w:rPr>
          <w:rFonts w:ascii="Times New Roman" w:eastAsia="Calibri" w:hAnsi="Times New Roman" w:cs="Times New Roman"/>
          <w:sz w:val="24"/>
          <w:szCs w:val="24"/>
        </w:rPr>
        <w:t>23.</w:t>
      </w:r>
      <w:r w:rsidRPr="009D1C67">
        <w:rPr>
          <w:rFonts w:ascii="Times New Roman" w:eastAsia="Calibri" w:hAnsi="Times New Roman" w:cs="Times New Roman"/>
          <w:sz w:val="24"/>
          <w:szCs w:val="24"/>
        </w:rPr>
        <w:tab/>
        <w:t>Конфедерация на работодателите и индустриалците в България;</w:t>
      </w:r>
    </w:p>
    <w:p w14:paraId="705324C9" w14:textId="77777777" w:rsidR="009D1C67" w:rsidRDefault="009D1C67" w:rsidP="009D1C67">
      <w:pPr>
        <w:spacing w:after="0" w:line="276" w:lineRule="auto"/>
        <w:ind w:firstLine="709"/>
        <w:jc w:val="both"/>
        <w:rPr>
          <w:rFonts w:ascii="Times New Roman" w:eastAsia="Calibri" w:hAnsi="Times New Roman" w:cs="Times New Roman"/>
          <w:sz w:val="24"/>
          <w:szCs w:val="24"/>
        </w:rPr>
      </w:pPr>
      <w:r w:rsidRPr="009D1C67">
        <w:rPr>
          <w:rFonts w:ascii="Times New Roman" w:eastAsia="Calibri" w:hAnsi="Times New Roman" w:cs="Times New Roman"/>
          <w:sz w:val="24"/>
          <w:szCs w:val="24"/>
        </w:rPr>
        <w:t>24.</w:t>
      </w:r>
      <w:r w:rsidRPr="009D1C67">
        <w:rPr>
          <w:rFonts w:ascii="Times New Roman" w:eastAsia="Calibri" w:hAnsi="Times New Roman" w:cs="Times New Roman"/>
          <w:sz w:val="24"/>
          <w:szCs w:val="24"/>
        </w:rPr>
        <w:tab/>
        <w:t>Съюз за стопанска инициатива;</w:t>
      </w:r>
    </w:p>
    <w:p w14:paraId="59F57D2B" w14:textId="7CAB86EC" w:rsidR="00C6172F" w:rsidRPr="009D1C67" w:rsidRDefault="00C6172F" w:rsidP="009D1C67">
      <w:pPr>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25.</w:t>
      </w:r>
      <w:r>
        <w:rPr>
          <w:rFonts w:ascii="Times New Roman" w:eastAsia="Calibri" w:hAnsi="Times New Roman" w:cs="Times New Roman"/>
          <w:sz w:val="24"/>
          <w:szCs w:val="24"/>
        </w:rPr>
        <w:tab/>
      </w:r>
      <w:r w:rsidRPr="00C6172F">
        <w:rPr>
          <w:rFonts w:ascii="Times New Roman" w:eastAsia="Calibri" w:hAnsi="Times New Roman" w:cs="Times New Roman"/>
          <w:sz w:val="24"/>
          <w:szCs w:val="24"/>
        </w:rPr>
        <w:t>„Електроенергийният системен оператор“ (ЕСО) ЕАД</w:t>
      </w:r>
    </w:p>
    <w:p w14:paraId="374FD83D" w14:textId="262B1EF5" w:rsidR="00D04611" w:rsidRDefault="009D1C67" w:rsidP="009D1C67">
      <w:pPr>
        <w:spacing w:after="0" w:line="276" w:lineRule="auto"/>
        <w:ind w:firstLine="709"/>
        <w:jc w:val="both"/>
        <w:rPr>
          <w:rFonts w:ascii="Times New Roman" w:eastAsia="Calibri" w:hAnsi="Times New Roman" w:cs="Times New Roman"/>
          <w:sz w:val="24"/>
          <w:szCs w:val="24"/>
        </w:rPr>
      </w:pPr>
      <w:r w:rsidRPr="009D1C67">
        <w:rPr>
          <w:rFonts w:ascii="Times New Roman" w:eastAsia="Calibri" w:hAnsi="Times New Roman" w:cs="Times New Roman"/>
          <w:sz w:val="24"/>
          <w:szCs w:val="24"/>
        </w:rPr>
        <w:t>2</w:t>
      </w:r>
      <w:r w:rsidR="00C6172F">
        <w:rPr>
          <w:rFonts w:ascii="Times New Roman" w:eastAsia="Calibri" w:hAnsi="Times New Roman" w:cs="Times New Roman"/>
          <w:sz w:val="24"/>
          <w:szCs w:val="24"/>
        </w:rPr>
        <w:t>6</w:t>
      </w:r>
      <w:r w:rsidRPr="009D1C67">
        <w:rPr>
          <w:rFonts w:ascii="Times New Roman" w:eastAsia="Calibri" w:hAnsi="Times New Roman" w:cs="Times New Roman"/>
          <w:sz w:val="24"/>
          <w:szCs w:val="24"/>
        </w:rPr>
        <w:t>.</w:t>
      </w:r>
      <w:r w:rsidRPr="009D1C67">
        <w:rPr>
          <w:rFonts w:ascii="Times New Roman" w:eastAsia="Calibri" w:hAnsi="Times New Roman" w:cs="Times New Roman"/>
          <w:sz w:val="24"/>
          <w:szCs w:val="24"/>
        </w:rPr>
        <w:tab/>
      </w:r>
      <w:r w:rsidR="00D04611">
        <w:rPr>
          <w:rFonts w:ascii="Times New Roman" w:eastAsia="Calibri" w:hAnsi="Times New Roman" w:cs="Times New Roman"/>
          <w:sz w:val="24"/>
          <w:szCs w:val="24"/>
        </w:rPr>
        <w:t>„Булгартрансгаз“ ЕАД;</w:t>
      </w:r>
    </w:p>
    <w:p w14:paraId="4BE8C915" w14:textId="027B9D17" w:rsidR="00D04611" w:rsidRDefault="00D04611" w:rsidP="009D1C67">
      <w:pPr>
        <w:spacing w:after="0" w:line="276" w:lineRule="auto"/>
        <w:ind w:firstLine="709"/>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2</w:t>
      </w:r>
      <w:r w:rsidR="00C6172F">
        <w:rPr>
          <w:rFonts w:ascii="Times New Roman" w:eastAsia="Calibri" w:hAnsi="Times New Roman" w:cs="Times New Roman"/>
          <w:sz w:val="24"/>
          <w:szCs w:val="24"/>
        </w:rPr>
        <w:t>7</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t>„Овергаз“ ООД;</w:t>
      </w:r>
    </w:p>
    <w:p w14:paraId="5AA3B7EF" w14:textId="0D88B10F" w:rsidR="0073665B" w:rsidRPr="0073665B" w:rsidRDefault="0073665B" w:rsidP="009D1C67">
      <w:pPr>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28</w:t>
      </w:r>
      <w:r w:rsidRPr="0073665B">
        <w:rPr>
          <w:rFonts w:ascii="Times New Roman" w:eastAsia="Calibri" w:hAnsi="Times New Roman" w:cs="Times New Roman"/>
          <w:sz w:val="24"/>
          <w:szCs w:val="24"/>
          <w:lang w:val="en-US"/>
        </w:rPr>
        <w:t>.</w:t>
      </w:r>
      <w:r w:rsidRPr="0073665B">
        <w:rPr>
          <w:rFonts w:ascii="Times New Roman" w:eastAsia="Calibri" w:hAnsi="Times New Roman" w:cs="Times New Roman"/>
          <w:sz w:val="24"/>
          <w:szCs w:val="24"/>
          <w:lang w:val="en-US"/>
        </w:rPr>
        <w:tab/>
        <w:t>АЕЦ „</w:t>
      </w:r>
      <w:proofErr w:type="gramStart"/>
      <w:r w:rsidRPr="0073665B">
        <w:rPr>
          <w:rFonts w:ascii="Times New Roman" w:eastAsia="Calibri" w:hAnsi="Times New Roman" w:cs="Times New Roman"/>
          <w:sz w:val="24"/>
          <w:szCs w:val="24"/>
          <w:lang w:val="en-US"/>
        </w:rPr>
        <w:t>Козлодуй“ ЕАД</w:t>
      </w:r>
      <w:proofErr w:type="gramEnd"/>
    </w:p>
    <w:p w14:paraId="235D5DD1" w14:textId="062A1BC6" w:rsidR="00D04611" w:rsidRDefault="00D04611" w:rsidP="009D1C67">
      <w:pPr>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0073665B">
        <w:rPr>
          <w:rFonts w:ascii="Times New Roman" w:eastAsia="Calibri" w:hAnsi="Times New Roman" w:cs="Times New Roman"/>
          <w:sz w:val="24"/>
          <w:szCs w:val="24"/>
          <w:lang w:val="en-US"/>
        </w:rPr>
        <w:t>9</w:t>
      </w:r>
      <w:r>
        <w:rPr>
          <w:rFonts w:ascii="Times New Roman" w:eastAsia="Calibri" w:hAnsi="Times New Roman" w:cs="Times New Roman"/>
          <w:sz w:val="24"/>
          <w:szCs w:val="24"/>
        </w:rPr>
        <w:t>.</w:t>
      </w:r>
      <w:r>
        <w:rPr>
          <w:rFonts w:ascii="Times New Roman" w:eastAsia="Calibri" w:hAnsi="Times New Roman" w:cs="Times New Roman"/>
          <w:sz w:val="24"/>
          <w:szCs w:val="24"/>
        </w:rPr>
        <w:tab/>
      </w:r>
      <w:r w:rsidRPr="00D87645">
        <w:rPr>
          <w:rFonts w:ascii="Times New Roman" w:eastAsia="Calibri" w:hAnsi="Times New Roman" w:cs="Times New Roman"/>
          <w:sz w:val="24"/>
          <w:szCs w:val="24"/>
        </w:rPr>
        <w:t>Обществеността.</w:t>
      </w:r>
    </w:p>
    <w:p w14:paraId="35684548" w14:textId="21243A25" w:rsidR="008142D2" w:rsidRPr="00D87645" w:rsidRDefault="008142D2" w:rsidP="006A236B">
      <w:pPr>
        <w:spacing w:after="0" w:line="276" w:lineRule="auto"/>
        <w:ind w:firstLine="709"/>
        <w:jc w:val="both"/>
        <w:rPr>
          <w:rFonts w:ascii="Times New Roman" w:eastAsia="Times New Roman" w:hAnsi="Times New Roman" w:cs="Times New Roman"/>
          <w:sz w:val="24"/>
          <w:szCs w:val="20"/>
          <w:lang w:eastAsia="bg-BG"/>
        </w:rPr>
      </w:pPr>
      <w:r w:rsidRPr="00D87645">
        <w:rPr>
          <w:rFonts w:ascii="Times New Roman" w:eastAsia="Calibri" w:hAnsi="Times New Roman" w:cs="Times New Roman"/>
          <w:sz w:val="24"/>
          <w:szCs w:val="24"/>
        </w:rPr>
        <w:t xml:space="preserve">Получените в резултат на консултациите по Заданието становища ще бъдат съобразени при изготвяне на ДЕО на </w:t>
      </w:r>
      <w:r w:rsidR="00D87645" w:rsidRPr="00D87645">
        <w:rPr>
          <w:rFonts w:ascii="Times New Roman" w:hAnsi="Times New Roman" w:cs="Times New Roman"/>
          <w:bCs/>
          <w:sz w:val="24"/>
          <w:szCs w:val="24"/>
        </w:rPr>
        <w:t>Интегриран план в областта на енергетиката и климата на Република България - актуализация 2024 г.</w:t>
      </w:r>
    </w:p>
    <w:p w14:paraId="7C369C6A" w14:textId="03774FF3" w:rsidR="006A236B" w:rsidRDefault="006A236B" w:rsidP="006A236B">
      <w:pPr>
        <w:spacing w:after="0" w:line="276" w:lineRule="auto"/>
        <w:ind w:firstLine="709"/>
        <w:jc w:val="both"/>
        <w:rPr>
          <w:rFonts w:ascii="Times New Roman" w:eastAsia="Calibri" w:hAnsi="Times New Roman" w:cs="Times New Roman"/>
          <w:sz w:val="24"/>
          <w:szCs w:val="24"/>
        </w:rPr>
      </w:pPr>
    </w:p>
    <w:p w14:paraId="6174D26B" w14:textId="5128BD08" w:rsidR="00CE6995" w:rsidRDefault="00CE6995" w:rsidP="006A236B">
      <w:pPr>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Проектът на ИПЕК попада в обхвата на чл. 2, ал.1, т.1 от </w:t>
      </w:r>
      <w:r w:rsidRPr="00CE6995">
        <w:rPr>
          <w:rFonts w:ascii="Times New Roman" w:eastAsia="Calibri" w:hAnsi="Times New Roman" w:cs="Times New Roman"/>
          <w:i/>
          <w:iCs/>
          <w:sz w:val="24"/>
          <w:szCs w:val="24"/>
        </w:rPr>
        <w:t>Наредбата за условията и реда за извършване на оценка на съвместимостта на планове, програми, проекти и инвестиционни предложения с предмета и целите на опазване на защитените зони</w:t>
      </w:r>
      <w:r>
        <w:rPr>
          <w:rFonts w:ascii="Times New Roman" w:eastAsia="Calibri" w:hAnsi="Times New Roman" w:cs="Times New Roman"/>
          <w:sz w:val="24"/>
          <w:szCs w:val="24"/>
        </w:rPr>
        <w:t xml:space="preserve"> и подлежи на процедура по оценка на съвместимостта му с предмета и целите на опазване на защитените зони от Националната екологична мрежа Натура 2000. На основание чл. 36, ал. 3 от Наредбата за ОС е направена преценка, че планът има вероятност да окаже значително отрицателно въздействие върху природни местообитания, популации и местообитания на видове, предмет на опазване в защитените зони. Поради това следва да бъде изготвен Доклад</w:t>
      </w:r>
      <w:r w:rsidR="00952640">
        <w:rPr>
          <w:rFonts w:ascii="Times New Roman" w:eastAsia="Calibri" w:hAnsi="Times New Roman" w:cs="Times New Roman"/>
          <w:sz w:val="24"/>
          <w:szCs w:val="24"/>
        </w:rPr>
        <w:t xml:space="preserve"> за оценка на степента на въздействие на проекта на ИПЕК</w:t>
      </w:r>
      <w:r w:rsidR="00D40142">
        <w:rPr>
          <w:rFonts w:ascii="Times New Roman" w:eastAsia="Calibri" w:hAnsi="Times New Roman" w:cs="Times New Roman"/>
          <w:sz w:val="24"/>
          <w:szCs w:val="24"/>
        </w:rPr>
        <w:t xml:space="preserve"> – актуализация 2024 г.</w:t>
      </w:r>
      <w:r w:rsidR="00952640">
        <w:rPr>
          <w:rFonts w:ascii="Times New Roman" w:eastAsia="Calibri" w:hAnsi="Times New Roman" w:cs="Times New Roman"/>
          <w:sz w:val="24"/>
          <w:szCs w:val="24"/>
        </w:rPr>
        <w:t xml:space="preserve"> върху защитените зони.</w:t>
      </w:r>
    </w:p>
    <w:p w14:paraId="61CF4BB9" w14:textId="6A12EAD6" w:rsidR="00CE6995" w:rsidRDefault="00CE6995" w:rsidP="006A236B">
      <w:pPr>
        <w:spacing w:after="0" w:line="276" w:lineRule="auto"/>
        <w:ind w:firstLine="709"/>
        <w:jc w:val="both"/>
        <w:rPr>
          <w:rFonts w:ascii="Times New Roman" w:eastAsia="Calibri" w:hAnsi="Times New Roman" w:cs="Times New Roman"/>
          <w:sz w:val="24"/>
          <w:szCs w:val="24"/>
        </w:rPr>
      </w:pPr>
    </w:p>
    <w:p w14:paraId="561B96BA" w14:textId="31388EE9" w:rsidR="008142D2" w:rsidRPr="00DB28FB" w:rsidRDefault="00D87645" w:rsidP="006A236B">
      <w:pPr>
        <w:spacing w:after="0" w:line="276" w:lineRule="auto"/>
        <w:ind w:firstLine="709"/>
        <w:jc w:val="both"/>
        <w:rPr>
          <w:rFonts w:ascii="Times New Roman" w:eastAsia="Calibri" w:hAnsi="Times New Roman" w:cs="Times New Roman"/>
          <w:sz w:val="24"/>
          <w:szCs w:val="24"/>
        </w:rPr>
      </w:pPr>
      <w:r w:rsidRPr="00DB28FB">
        <w:rPr>
          <w:rFonts w:ascii="Times New Roman" w:eastAsia="Calibri" w:hAnsi="Times New Roman" w:cs="Times New Roman"/>
          <w:sz w:val="24"/>
          <w:szCs w:val="24"/>
        </w:rPr>
        <w:t>Като държава членка на Европейския съюз България споделя общата ценност за развитие на справедливо и благоденстващо общество с модерна, ресурсно ефективна и конкурентоспособна икономика, в която през 2050 г. няма нетни емисии на парникови газове.</w:t>
      </w:r>
    </w:p>
    <w:p w14:paraId="7B724019" w14:textId="77777777" w:rsidR="008142D2" w:rsidRPr="00DB28FB" w:rsidRDefault="00DB28FB" w:rsidP="006A236B">
      <w:pPr>
        <w:spacing w:after="0" w:line="276" w:lineRule="auto"/>
        <w:ind w:firstLine="709"/>
        <w:jc w:val="both"/>
        <w:rPr>
          <w:rFonts w:ascii="Times New Roman" w:eastAsia="Calibri" w:hAnsi="Times New Roman" w:cs="Times New Roman"/>
          <w:sz w:val="24"/>
          <w:szCs w:val="24"/>
        </w:rPr>
      </w:pPr>
      <w:r w:rsidRPr="00FC1D3C">
        <w:rPr>
          <w:rFonts w:ascii="Times New Roman" w:eastAsia="Calibri" w:hAnsi="Times New Roman" w:cs="Times New Roman"/>
          <w:sz w:val="24"/>
          <w:szCs w:val="24"/>
        </w:rPr>
        <w:t>За по-ефективно изпълнение на климатичните политики и по-добра предвидимост за бизнеса декарбонизация е обвързана със секторни политики, с фокус върху енергетиката, индустрията, транспорта, сградите, селското стопанство и земеползването.</w:t>
      </w:r>
    </w:p>
    <w:p w14:paraId="6911F9D0" w14:textId="77777777" w:rsidR="00DB28FB" w:rsidRPr="00DB28FB" w:rsidRDefault="00DB28FB" w:rsidP="006A236B">
      <w:pPr>
        <w:spacing w:after="0" w:line="276" w:lineRule="auto"/>
        <w:ind w:firstLine="709"/>
        <w:jc w:val="both"/>
        <w:rPr>
          <w:rFonts w:ascii="Times New Roman" w:eastAsia="Calibri" w:hAnsi="Times New Roman" w:cs="Times New Roman"/>
          <w:sz w:val="24"/>
          <w:szCs w:val="24"/>
        </w:rPr>
      </w:pPr>
      <w:r w:rsidRPr="00DB28FB">
        <w:rPr>
          <w:rFonts w:ascii="Times New Roman" w:eastAsia="Calibri" w:hAnsi="Times New Roman" w:cs="Times New Roman"/>
          <w:sz w:val="24"/>
          <w:szCs w:val="24"/>
        </w:rPr>
        <w:t xml:space="preserve">Настоящата цел на ЕС до 2030 г. е спад на емисиите с 55%. За да бъде постигната, Европейският съюз обновява законодателството си. </w:t>
      </w:r>
    </w:p>
    <w:p w14:paraId="71A98EC8" w14:textId="77777777" w:rsidR="00DB28FB" w:rsidRPr="00DB28FB" w:rsidRDefault="00DB28FB" w:rsidP="006A236B">
      <w:pPr>
        <w:spacing w:after="0" w:line="276" w:lineRule="auto"/>
        <w:ind w:firstLine="709"/>
        <w:jc w:val="both"/>
        <w:rPr>
          <w:rFonts w:ascii="Times New Roman" w:eastAsia="Calibri" w:hAnsi="Times New Roman" w:cs="Times New Roman"/>
          <w:sz w:val="24"/>
          <w:szCs w:val="24"/>
        </w:rPr>
      </w:pPr>
      <w:r w:rsidRPr="00DB28FB">
        <w:rPr>
          <w:rFonts w:ascii="Times New Roman" w:eastAsia="Calibri" w:hAnsi="Times New Roman" w:cs="Times New Roman"/>
          <w:sz w:val="24"/>
          <w:szCs w:val="24"/>
        </w:rPr>
        <w:lastRenderedPageBreak/>
        <w:t xml:space="preserve">Законодателният пакет известен като „Подготвени за цел 55“ включва регулации относно търговията с емисии, националните цели за намаляване на емисиите в някои сектори, промените в земеползването, емисиите в транспорта и други области. </w:t>
      </w:r>
    </w:p>
    <w:p w14:paraId="10D76FEB" w14:textId="77777777" w:rsidR="00DB28FB" w:rsidRPr="00DB28FB" w:rsidRDefault="00DB28FB" w:rsidP="006A236B">
      <w:pPr>
        <w:spacing w:after="0" w:line="276" w:lineRule="auto"/>
        <w:ind w:firstLine="709"/>
        <w:jc w:val="both"/>
        <w:rPr>
          <w:rFonts w:ascii="Times New Roman" w:eastAsia="Calibri" w:hAnsi="Times New Roman" w:cs="Times New Roman"/>
          <w:sz w:val="24"/>
          <w:szCs w:val="24"/>
        </w:rPr>
      </w:pPr>
      <w:r w:rsidRPr="00DB28FB">
        <w:rPr>
          <w:rFonts w:ascii="Times New Roman" w:eastAsia="Calibri" w:hAnsi="Times New Roman" w:cs="Times New Roman"/>
          <w:sz w:val="24"/>
          <w:szCs w:val="24"/>
        </w:rPr>
        <w:t xml:space="preserve">Целта на ЕС до 2030 г. е намаляване на емисиите на парникови газове с 55% и постигане на 0% нетни емисии на парникови газове през 2050 г. За да бъде постигната, Европейският съюз обновява законодателството си. </w:t>
      </w:r>
    </w:p>
    <w:p w14:paraId="33ED3528" w14:textId="77777777" w:rsidR="00DB28FB" w:rsidRPr="00DB28FB" w:rsidRDefault="00DB28FB" w:rsidP="006A236B">
      <w:pPr>
        <w:spacing w:after="0" w:line="276" w:lineRule="auto"/>
        <w:ind w:firstLine="709"/>
        <w:jc w:val="both"/>
        <w:rPr>
          <w:rFonts w:ascii="Times New Roman" w:eastAsia="Calibri" w:hAnsi="Times New Roman" w:cs="Times New Roman"/>
          <w:sz w:val="24"/>
          <w:szCs w:val="24"/>
        </w:rPr>
      </w:pPr>
      <w:r w:rsidRPr="00DB28FB">
        <w:rPr>
          <w:rFonts w:ascii="Times New Roman" w:eastAsia="Calibri" w:hAnsi="Times New Roman" w:cs="Times New Roman"/>
          <w:sz w:val="24"/>
          <w:szCs w:val="24"/>
        </w:rPr>
        <w:t xml:space="preserve">Законодателният пакет „Подготвени за цел 55“ включва законодателни предложения и изменения на съществуващото законодателство на ЕС, които ще допринесат за намаляването на нетните имисии на парникови газове в Съюза и декарбонизиране на икономиката за постигане на климатична неутралност по справедлив, разходоефективен и конкурентен начин. </w:t>
      </w:r>
    </w:p>
    <w:p w14:paraId="2E1D0E82" w14:textId="77777777" w:rsidR="00DB28FB" w:rsidRPr="00DB28FB" w:rsidRDefault="00DB28FB" w:rsidP="006A236B">
      <w:pPr>
        <w:spacing w:after="0" w:line="276" w:lineRule="auto"/>
        <w:ind w:firstLine="709"/>
        <w:jc w:val="both"/>
        <w:rPr>
          <w:rFonts w:ascii="Times New Roman" w:eastAsia="Calibri" w:hAnsi="Times New Roman" w:cs="Times New Roman"/>
          <w:sz w:val="24"/>
          <w:szCs w:val="24"/>
        </w:rPr>
      </w:pPr>
      <w:r w:rsidRPr="00DB28FB">
        <w:rPr>
          <w:rFonts w:ascii="Times New Roman" w:eastAsia="Calibri" w:hAnsi="Times New Roman" w:cs="Times New Roman"/>
          <w:sz w:val="24"/>
          <w:szCs w:val="24"/>
        </w:rPr>
        <w:t xml:space="preserve">За да изпълни този ангажимент, ЕС определи следните обвързващи цели до 2030 г.: </w:t>
      </w:r>
    </w:p>
    <w:p w14:paraId="2BC255F0" w14:textId="77777777" w:rsidR="00DB28FB" w:rsidRPr="006A236B" w:rsidRDefault="00DB28FB" w:rsidP="004F15F5">
      <w:pPr>
        <w:pStyle w:val="ListParagraph"/>
        <w:numPr>
          <w:ilvl w:val="0"/>
          <w:numId w:val="16"/>
        </w:numPr>
        <w:spacing w:after="0" w:line="276" w:lineRule="auto"/>
        <w:jc w:val="both"/>
        <w:rPr>
          <w:rFonts w:ascii="Times New Roman" w:eastAsia="Calibri" w:hAnsi="Times New Roman" w:cs="Times New Roman"/>
          <w:sz w:val="24"/>
          <w:szCs w:val="24"/>
        </w:rPr>
      </w:pPr>
      <w:r w:rsidRPr="006A236B">
        <w:rPr>
          <w:rFonts w:ascii="Times New Roman" w:eastAsia="Calibri" w:hAnsi="Times New Roman" w:cs="Times New Roman"/>
          <w:sz w:val="24"/>
          <w:szCs w:val="24"/>
        </w:rPr>
        <w:t xml:space="preserve">Намаляване на нетните емисии на парникови газове (ПГ) с най-малко 55% в сравнение с 1990 г. до 2030 г.; </w:t>
      </w:r>
    </w:p>
    <w:p w14:paraId="5967A151" w14:textId="77777777" w:rsidR="00DB28FB" w:rsidRPr="006A236B" w:rsidRDefault="00DB28FB" w:rsidP="004F15F5">
      <w:pPr>
        <w:pStyle w:val="ListParagraph"/>
        <w:numPr>
          <w:ilvl w:val="0"/>
          <w:numId w:val="16"/>
        </w:numPr>
        <w:spacing w:after="0" w:line="276" w:lineRule="auto"/>
        <w:jc w:val="both"/>
        <w:rPr>
          <w:rFonts w:ascii="Times New Roman" w:eastAsia="Calibri" w:hAnsi="Times New Roman" w:cs="Times New Roman"/>
          <w:sz w:val="24"/>
          <w:szCs w:val="24"/>
        </w:rPr>
      </w:pPr>
      <w:r w:rsidRPr="006A236B">
        <w:rPr>
          <w:rFonts w:ascii="Times New Roman" w:eastAsia="Calibri" w:hAnsi="Times New Roman" w:cs="Times New Roman"/>
          <w:sz w:val="24"/>
          <w:szCs w:val="24"/>
        </w:rPr>
        <w:t xml:space="preserve">Намаляване на емисиите на парникови газове на ЕС с 40% до 2030 г. в сравнение с нивото от 2005 г. в секторите, които не са обхванати от европейската схема за търговия с емисии; </w:t>
      </w:r>
    </w:p>
    <w:p w14:paraId="77A4850D" w14:textId="77777777" w:rsidR="00DB28FB" w:rsidRPr="006A236B" w:rsidRDefault="00DB28FB" w:rsidP="004F15F5">
      <w:pPr>
        <w:pStyle w:val="ListParagraph"/>
        <w:numPr>
          <w:ilvl w:val="0"/>
          <w:numId w:val="16"/>
        </w:numPr>
        <w:spacing w:after="0" w:line="276" w:lineRule="auto"/>
        <w:jc w:val="both"/>
        <w:rPr>
          <w:rFonts w:ascii="Times New Roman" w:eastAsia="Calibri" w:hAnsi="Times New Roman" w:cs="Times New Roman"/>
          <w:sz w:val="24"/>
          <w:szCs w:val="24"/>
        </w:rPr>
      </w:pPr>
      <w:r w:rsidRPr="006A236B">
        <w:rPr>
          <w:rFonts w:ascii="Times New Roman" w:eastAsia="Calibri" w:hAnsi="Times New Roman" w:cs="Times New Roman"/>
          <w:sz w:val="24"/>
          <w:szCs w:val="24"/>
        </w:rPr>
        <w:t xml:space="preserve">Намаляване на потреблението на енергия в ЕС с най-малко 11.7% през 2030 г. в сравнение с прогнозите на референтния сценарий на ЕС от 2020 г., така че крайното енергийно потребление на Съюза да не надхвърля 763 Mtoе. Постигане на поне 42.5% дял на енергия от възобновяеми източници в брутното крайно потребление на енергия в ЕС до 2030 г., със стремеж този дял да достигне 45% през 2030 г.; </w:t>
      </w:r>
    </w:p>
    <w:p w14:paraId="7D9141C0" w14:textId="77777777" w:rsidR="00DB28FB" w:rsidRPr="006A236B" w:rsidRDefault="00DB28FB" w:rsidP="004F15F5">
      <w:pPr>
        <w:pStyle w:val="ListParagraph"/>
        <w:numPr>
          <w:ilvl w:val="0"/>
          <w:numId w:val="16"/>
        </w:numPr>
        <w:spacing w:after="0" w:line="276" w:lineRule="auto"/>
        <w:jc w:val="both"/>
        <w:rPr>
          <w:rFonts w:ascii="Times New Roman" w:eastAsia="Calibri" w:hAnsi="Times New Roman" w:cs="Times New Roman"/>
          <w:sz w:val="24"/>
          <w:szCs w:val="24"/>
        </w:rPr>
      </w:pPr>
      <w:r w:rsidRPr="006A236B">
        <w:rPr>
          <w:rFonts w:ascii="Times New Roman" w:eastAsia="Calibri" w:hAnsi="Times New Roman" w:cs="Times New Roman"/>
          <w:sz w:val="24"/>
          <w:szCs w:val="24"/>
        </w:rPr>
        <w:t xml:space="preserve">Осигуряване на минимум 15% ниво на междусистемна електроенергийна свързаност между държавите членки. </w:t>
      </w:r>
    </w:p>
    <w:p w14:paraId="489450AB" w14:textId="4E2633FF" w:rsidR="00DB28FB" w:rsidRPr="00DB28FB" w:rsidRDefault="00DB28FB" w:rsidP="006A236B">
      <w:pPr>
        <w:spacing w:after="0" w:line="276" w:lineRule="auto"/>
        <w:ind w:firstLine="709"/>
        <w:jc w:val="both"/>
        <w:rPr>
          <w:rFonts w:ascii="Times New Roman" w:eastAsia="Calibri" w:hAnsi="Times New Roman" w:cs="Times New Roman"/>
          <w:sz w:val="24"/>
          <w:szCs w:val="24"/>
        </w:rPr>
      </w:pPr>
      <w:r w:rsidRPr="00DB28FB">
        <w:rPr>
          <w:rFonts w:ascii="Times New Roman" w:eastAsia="Calibri" w:hAnsi="Times New Roman" w:cs="Times New Roman"/>
          <w:sz w:val="24"/>
          <w:szCs w:val="24"/>
        </w:rPr>
        <w:t xml:space="preserve">Актуализираният ИПЕК дефинира амбициозните цели и мерки, свързани с: </w:t>
      </w:r>
    </w:p>
    <w:p w14:paraId="7CE79BF1" w14:textId="77777777" w:rsidR="00DB28FB" w:rsidRPr="006A236B" w:rsidRDefault="00DB28FB" w:rsidP="004F15F5">
      <w:pPr>
        <w:pStyle w:val="ListParagraph"/>
        <w:numPr>
          <w:ilvl w:val="0"/>
          <w:numId w:val="17"/>
        </w:numPr>
        <w:spacing w:after="0" w:line="276" w:lineRule="auto"/>
        <w:jc w:val="both"/>
        <w:rPr>
          <w:rFonts w:ascii="Times New Roman" w:eastAsia="Calibri" w:hAnsi="Times New Roman" w:cs="Times New Roman"/>
          <w:sz w:val="24"/>
          <w:szCs w:val="24"/>
        </w:rPr>
      </w:pPr>
      <w:r w:rsidRPr="006A236B">
        <w:rPr>
          <w:rFonts w:ascii="Times New Roman" w:eastAsia="Calibri" w:hAnsi="Times New Roman" w:cs="Times New Roman"/>
          <w:sz w:val="24"/>
          <w:szCs w:val="24"/>
        </w:rPr>
        <w:t xml:space="preserve">процеса за трансформация на националния енергиен микс; </w:t>
      </w:r>
    </w:p>
    <w:p w14:paraId="5C565500" w14:textId="77777777" w:rsidR="00DB28FB" w:rsidRPr="006A236B" w:rsidRDefault="00DB28FB" w:rsidP="004F15F5">
      <w:pPr>
        <w:pStyle w:val="ListParagraph"/>
        <w:numPr>
          <w:ilvl w:val="0"/>
          <w:numId w:val="18"/>
        </w:numPr>
        <w:spacing w:after="0" w:line="276" w:lineRule="auto"/>
        <w:ind w:left="1080"/>
        <w:jc w:val="both"/>
        <w:rPr>
          <w:rFonts w:ascii="Times New Roman" w:eastAsia="Calibri" w:hAnsi="Times New Roman" w:cs="Times New Roman"/>
          <w:sz w:val="24"/>
          <w:szCs w:val="24"/>
        </w:rPr>
      </w:pPr>
      <w:r w:rsidRPr="006A236B">
        <w:rPr>
          <w:rFonts w:ascii="Times New Roman" w:eastAsia="Calibri" w:hAnsi="Times New Roman" w:cs="Times New Roman"/>
          <w:sz w:val="24"/>
          <w:szCs w:val="24"/>
        </w:rPr>
        <w:t xml:space="preserve">декарбонизация с устойчиво и достатъчно намаляване на емисиите в енергийния сектор благодарение на нови нисковъглеродни технологии и плавния преход към източници с ниски въглеродни емисии; </w:t>
      </w:r>
    </w:p>
    <w:p w14:paraId="7707C2EE" w14:textId="77C460B0" w:rsidR="00DB28FB" w:rsidRPr="006A236B" w:rsidRDefault="00DB28FB" w:rsidP="004F15F5">
      <w:pPr>
        <w:pStyle w:val="ListParagraph"/>
        <w:numPr>
          <w:ilvl w:val="0"/>
          <w:numId w:val="18"/>
        </w:numPr>
        <w:spacing w:after="0" w:line="276" w:lineRule="auto"/>
        <w:ind w:left="1080"/>
        <w:jc w:val="both"/>
        <w:rPr>
          <w:rFonts w:ascii="Times New Roman" w:eastAsia="Calibri" w:hAnsi="Times New Roman" w:cs="Times New Roman"/>
          <w:sz w:val="24"/>
          <w:szCs w:val="24"/>
        </w:rPr>
      </w:pPr>
      <w:r w:rsidRPr="006A236B">
        <w:rPr>
          <w:rFonts w:ascii="Times New Roman" w:eastAsia="Calibri" w:hAnsi="Times New Roman" w:cs="Times New Roman"/>
          <w:sz w:val="24"/>
          <w:szCs w:val="24"/>
        </w:rPr>
        <w:t>приемане на национална цел за климатична неутралност до 2050 г.</w:t>
      </w:r>
    </w:p>
    <w:p w14:paraId="7FCE0DCE" w14:textId="77777777" w:rsidR="008142D2" w:rsidRPr="00DB28FB" w:rsidRDefault="008142D2" w:rsidP="006A236B">
      <w:pPr>
        <w:spacing w:after="0" w:line="276" w:lineRule="auto"/>
        <w:ind w:firstLine="709"/>
        <w:jc w:val="both"/>
        <w:rPr>
          <w:rFonts w:ascii="Times New Roman" w:eastAsia="Calibri" w:hAnsi="Times New Roman" w:cs="Times New Roman"/>
          <w:sz w:val="24"/>
          <w:szCs w:val="24"/>
        </w:rPr>
      </w:pPr>
    </w:p>
    <w:p w14:paraId="1EF4A707" w14:textId="2E9F8A42" w:rsidR="00DB28FB" w:rsidRPr="00DB28FB" w:rsidRDefault="00DB28FB" w:rsidP="006A236B">
      <w:pPr>
        <w:spacing w:after="0" w:line="276" w:lineRule="auto"/>
        <w:ind w:firstLine="709"/>
        <w:jc w:val="both"/>
        <w:rPr>
          <w:rFonts w:ascii="Times New Roman" w:eastAsia="Calibri" w:hAnsi="Times New Roman" w:cs="Times New Roman"/>
          <w:b/>
          <w:sz w:val="24"/>
          <w:szCs w:val="24"/>
        </w:rPr>
      </w:pPr>
      <w:r w:rsidRPr="00DB28FB">
        <w:rPr>
          <w:rFonts w:ascii="Times New Roman" w:eastAsia="Calibri" w:hAnsi="Times New Roman" w:cs="Times New Roman"/>
          <w:b/>
          <w:sz w:val="24"/>
          <w:szCs w:val="24"/>
        </w:rPr>
        <w:t xml:space="preserve">Основните цели, заложени в </w:t>
      </w:r>
      <w:r w:rsidR="005B5EB3">
        <w:rPr>
          <w:rFonts w:ascii="Times New Roman" w:eastAsia="Calibri" w:hAnsi="Times New Roman" w:cs="Times New Roman"/>
          <w:b/>
          <w:sz w:val="24"/>
          <w:szCs w:val="24"/>
        </w:rPr>
        <w:t>ИПЕК</w:t>
      </w:r>
      <w:r w:rsidRPr="00DB28FB">
        <w:rPr>
          <w:rFonts w:ascii="Times New Roman" w:eastAsia="Calibri" w:hAnsi="Times New Roman" w:cs="Times New Roman"/>
          <w:b/>
          <w:sz w:val="24"/>
          <w:szCs w:val="24"/>
        </w:rPr>
        <w:t xml:space="preserve"> са: </w:t>
      </w:r>
    </w:p>
    <w:p w14:paraId="2AB86F84" w14:textId="77777777" w:rsidR="00DB28FB" w:rsidRPr="00DB28FB" w:rsidRDefault="00DB28FB" w:rsidP="006A236B">
      <w:pPr>
        <w:spacing w:after="0" w:line="276" w:lineRule="auto"/>
        <w:ind w:firstLine="709"/>
        <w:jc w:val="both"/>
        <w:rPr>
          <w:rFonts w:ascii="Times New Roman" w:eastAsia="Calibri" w:hAnsi="Times New Roman" w:cs="Times New Roman"/>
          <w:sz w:val="24"/>
          <w:szCs w:val="24"/>
        </w:rPr>
      </w:pPr>
      <w:r w:rsidRPr="00DB28FB">
        <w:rPr>
          <w:rFonts w:ascii="Times New Roman" w:eastAsia="Calibri" w:hAnsi="Times New Roman" w:cs="Times New Roman"/>
          <w:sz w:val="24"/>
          <w:szCs w:val="24"/>
        </w:rPr>
        <w:t xml:space="preserve">• стимулиране на нисковъглеродно развитие на икономиката; </w:t>
      </w:r>
    </w:p>
    <w:p w14:paraId="009AE8BC" w14:textId="77777777" w:rsidR="00DB28FB" w:rsidRPr="00DB28FB" w:rsidRDefault="00DB28FB" w:rsidP="006A236B">
      <w:pPr>
        <w:spacing w:after="0" w:line="276" w:lineRule="auto"/>
        <w:ind w:firstLine="709"/>
        <w:jc w:val="both"/>
        <w:rPr>
          <w:rFonts w:ascii="Times New Roman" w:eastAsia="Calibri" w:hAnsi="Times New Roman" w:cs="Times New Roman"/>
          <w:sz w:val="24"/>
          <w:szCs w:val="24"/>
        </w:rPr>
      </w:pPr>
      <w:r w:rsidRPr="00DB28FB">
        <w:rPr>
          <w:rFonts w:ascii="Times New Roman" w:eastAsia="Calibri" w:hAnsi="Times New Roman" w:cs="Times New Roman"/>
          <w:sz w:val="24"/>
          <w:szCs w:val="24"/>
        </w:rPr>
        <w:t xml:space="preserve">• развитие на конкурентоспособна и сигурна енергетика; </w:t>
      </w:r>
    </w:p>
    <w:p w14:paraId="51DF163D" w14:textId="77777777" w:rsidR="00DB28FB" w:rsidRPr="00DB28FB" w:rsidRDefault="00DB28FB" w:rsidP="006A236B">
      <w:pPr>
        <w:spacing w:after="0" w:line="276" w:lineRule="auto"/>
        <w:ind w:firstLine="709"/>
        <w:jc w:val="both"/>
        <w:rPr>
          <w:rFonts w:ascii="Times New Roman" w:eastAsia="Calibri" w:hAnsi="Times New Roman" w:cs="Times New Roman"/>
          <w:sz w:val="24"/>
          <w:szCs w:val="24"/>
        </w:rPr>
      </w:pPr>
      <w:r w:rsidRPr="00DB28FB">
        <w:rPr>
          <w:rFonts w:ascii="Times New Roman" w:eastAsia="Calibri" w:hAnsi="Times New Roman" w:cs="Times New Roman"/>
          <w:sz w:val="24"/>
          <w:szCs w:val="24"/>
        </w:rPr>
        <w:t xml:space="preserve">• намаляване зависимостта от внос на горива и енергия; </w:t>
      </w:r>
    </w:p>
    <w:p w14:paraId="766506DD" w14:textId="77777777" w:rsidR="00DB28FB" w:rsidRPr="00DB28FB" w:rsidRDefault="00DB28FB" w:rsidP="006A236B">
      <w:pPr>
        <w:spacing w:after="0" w:line="276" w:lineRule="auto"/>
        <w:ind w:firstLine="709"/>
        <w:jc w:val="both"/>
        <w:rPr>
          <w:rFonts w:ascii="Times New Roman" w:eastAsia="Calibri" w:hAnsi="Times New Roman" w:cs="Times New Roman"/>
          <w:sz w:val="24"/>
          <w:szCs w:val="24"/>
        </w:rPr>
      </w:pPr>
      <w:r w:rsidRPr="00DB28FB">
        <w:rPr>
          <w:rFonts w:ascii="Times New Roman" w:eastAsia="Calibri" w:hAnsi="Times New Roman" w:cs="Times New Roman"/>
          <w:sz w:val="24"/>
          <w:szCs w:val="24"/>
        </w:rPr>
        <w:t xml:space="preserve">• гарантиране на енергия на достъпни цени за всички потребители. </w:t>
      </w:r>
    </w:p>
    <w:p w14:paraId="1CC53663" w14:textId="77777777" w:rsidR="006A236B" w:rsidRDefault="006A236B" w:rsidP="006A236B">
      <w:pPr>
        <w:spacing w:after="0" w:line="276" w:lineRule="auto"/>
        <w:ind w:firstLine="709"/>
        <w:jc w:val="both"/>
        <w:rPr>
          <w:rFonts w:ascii="Times New Roman" w:eastAsia="Calibri" w:hAnsi="Times New Roman" w:cs="Times New Roman"/>
          <w:sz w:val="24"/>
          <w:szCs w:val="24"/>
        </w:rPr>
      </w:pPr>
    </w:p>
    <w:p w14:paraId="54C42F3B" w14:textId="77777777" w:rsidR="00DB28FB" w:rsidRPr="00DB28FB" w:rsidRDefault="00DB28FB" w:rsidP="006A236B">
      <w:pPr>
        <w:spacing w:after="0" w:line="276" w:lineRule="auto"/>
        <w:ind w:firstLine="709"/>
        <w:jc w:val="both"/>
        <w:rPr>
          <w:rFonts w:ascii="Times New Roman" w:eastAsia="Calibri" w:hAnsi="Times New Roman" w:cs="Times New Roman"/>
          <w:sz w:val="24"/>
          <w:szCs w:val="24"/>
        </w:rPr>
      </w:pPr>
      <w:r w:rsidRPr="00DB28FB">
        <w:rPr>
          <w:rFonts w:ascii="Times New Roman" w:eastAsia="Calibri" w:hAnsi="Times New Roman" w:cs="Times New Roman"/>
          <w:sz w:val="24"/>
          <w:szCs w:val="24"/>
        </w:rPr>
        <w:lastRenderedPageBreak/>
        <w:t xml:space="preserve">Националните приоритети в областта на енергетиката и климата могат да бъдат обобщени, както следва: </w:t>
      </w:r>
    </w:p>
    <w:p w14:paraId="0554DE47" w14:textId="77777777" w:rsidR="00DB28FB" w:rsidRPr="005B5EB3" w:rsidRDefault="00DB28FB" w:rsidP="00FC1D3C">
      <w:pPr>
        <w:spacing w:before="120" w:after="0" w:line="276" w:lineRule="auto"/>
        <w:ind w:firstLine="709"/>
        <w:jc w:val="both"/>
        <w:rPr>
          <w:rFonts w:ascii="Times New Roman" w:eastAsia="Calibri" w:hAnsi="Times New Roman" w:cs="Times New Roman"/>
          <w:i/>
          <w:iCs/>
          <w:sz w:val="24"/>
          <w:szCs w:val="24"/>
        </w:rPr>
      </w:pPr>
      <w:r w:rsidRPr="005B5EB3">
        <w:rPr>
          <w:rFonts w:ascii="Times New Roman" w:eastAsia="Calibri" w:hAnsi="Times New Roman" w:cs="Times New Roman"/>
          <w:i/>
          <w:iCs/>
          <w:sz w:val="24"/>
          <w:szCs w:val="24"/>
        </w:rPr>
        <w:t xml:space="preserve">Енергетика: </w:t>
      </w:r>
    </w:p>
    <w:p w14:paraId="23DFF63A" w14:textId="77777777" w:rsidR="00DB28FB" w:rsidRPr="006A236B" w:rsidRDefault="00DB28FB" w:rsidP="004F15F5">
      <w:pPr>
        <w:pStyle w:val="ListParagraph"/>
        <w:numPr>
          <w:ilvl w:val="0"/>
          <w:numId w:val="19"/>
        </w:numPr>
        <w:spacing w:before="120" w:after="0" w:line="276" w:lineRule="auto"/>
        <w:jc w:val="both"/>
        <w:rPr>
          <w:rFonts w:ascii="Times New Roman" w:eastAsia="Calibri" w:hAnsi="Times New Roman" w:cs="Times New Roman"/>
          <w:sz w:val="24"/>
          <w:szCs w:val="24"/>
        </w:rPr>
      </w:pPr>
      <w:r w:rsidRPr="006A236B">
        <w:rPr>
          <w:rFonts w:ascii="Times New Roman" w:eastAsia="Calibri" w:hAnsi="Times New Roman" w:cs="Times New Roman"/>
          <w:sz w:val="24"/>
          <w:szCs w:val="24"/>
        </w:rPr>
        <w:t xml:space="preserve">повишаване на енергийната сигурност и диверсификация на доставките на енергийни ресурси; </w:t>
      </w:r>
    </w:p>
    <w:p w14:paraId="61F5DDE5" w14:textId="77777777" w:rsidR="00DB28FB" w:rsidRPr="006A236B" w:rsidRDefault="00DB28FB" w:rsidP="004F15F5">
      <w:pPr>
        <w:pStyle w:val="ListParagraph"/>
        <w:numPr>
          <w:ilvl w:val="0"/>
          <w:numId w:val="19"/>
        </w:numPr>
        <w:spacing w:before="120" w:after="0" w:line="276" w:lineRule="auto"/>
        <w:jc w:val="both"/>
        <w:rPr>
          <w:rFonts w:ascii="Times New Roman" w:eastAsia="Calibri" w:hAnsi="Times New Roman" w:cs="Times New Roman"/>
          <w:sz w:val="24"/>
          <w:szCs w:val="24"/>
        </w:rPr>
      </w:pPr>
      <w:r w:rsidRPr="006A236B">
        <w:rPr>
          <w:rFonts w:ascii="Times New Roman" w:eastAsia="Calibri" w:hAnsi="Times New Roman" w:cs="Times New Roman"/>
          <w:sz w:val="24"/>
          <w:szCs w:val="24"/>
        </w:rPr>
        <w:t xml:space="preserve">развитие на интегриран и конкурентен енергиен пазар; </w:t>
      </w:r>
    </w:p>
    <w:p w14:paraId="304E7754" w14:textId="77777777" w:rsidR="00DB28FB" w:rsidRPr="006A236B" w:rsidRDefault="00DB28FB" w:rsidP="004F15F5">
      <w:pPr>
        <w:pStyle w:val="ListParagraph"/>
        <w:numPr>
          <w:ilvl w:val="0"/>
          <w:numId w:val="19"/>
        </w:numPr>
        <w:spacing w:before="120" w:after="0" w:line="276" w:lineRule="auto"/>
        <w:jc w:val="both"/>
        <w:rPr>
          <w:rFonts w:ascii="Times New Roman" w:eastAsia="Calibri" w:hAnsi="Times New Roman" w:cs="Times New Roman"/>
          <w:sz w:val="24"/>
          <w:szCs w:val="24"/>
        </w:rPr>
      </w:pPr>
      <w:r w:rsidRPr="006A236B">
        <w:rPr>
          <w:rFonts w:ascii="Times New Roman" w:eastAsia="Calibri" w:hAnsi="Times New Roman" w:cs="Times New Roman"/>
          <w:sz w:val="24"/>
          <w:szCs w:val="24"/>
        </w:rPr>
        <w:t xml:space="preserve">ускоряване на процеса по въвеждане на производството и потреблението на енергия от ВИ, насърчаване на потреблението на собствена енергия от ВИ, развитието на общности за възобновяема енергия и развитието на свързаната с тези процеси енергийна инфраструктура за пренос, разпределение и съхранения на енергия от ВИ, развитие на мрежите; </w:t>
      </w:r>
    </w:p>
    <w:p w14:paraId="4D44A2E3" w14:textId="77777777" w:rsidR="00DB28FB" w:rsidRPr="006A236B" w:rsidRDefault="00DB28FB" w:rsidP="004F15F5">
      <w:pPr>
        <w:pStyle w:val="ListParagraph"/>
        <w:numPr>
          <w:ilvl w:val="0"/>
          <w:numId w:val="19"/>
        </w:numPr>
        <w:spacing w:before="120" w:after="0" w:line="276" w:lineRule="auto"/>
        <w:jc w:val="both"/>
        <w:rPr>
          <w:rFonts w:ascii="Times New Roman" w:eastAsia="Calibri" w:hAnsi="Times New Roman" w:cs="Times New Roman"/>
          <w:sz w:val="24"/>
          <w:szCs w:val="24"/>
        </w:rPr>
      </w:pPr>
      <w:r w:rsidRPr="006A236B">
        <w:rPr>
          <w:rFonts w:ascii="Times New Roman" w:eastAsia="Calibri" w:hAnsi="Times New Roman" w:cs="Times New Roman"/>
          <w:sz w:val="24"/>
          <w:szCs w:val="24"/>
        </w:rPr>
        <w:t xml:space="preserve">повишаване на енергийната ефективност чрез развитие и прилагане на нови технологии за постигане на модерна и устойчива енергетика; </w:t>
      </w:r>
    </w:p>
    <w:p w14:paraId="5D29C258" w14:textId="77777777" w:rsidR="00DB28FB" w:rsidRPr="006A236B" w:rsidRDefault="00DB28FB" w:rsidP="004F15F5">
      <w:pPr>
        <w:pStyle w:val="ListParagraph"/>
        <w:numPr>
          <w:ilvl w:val="0"/>
          <w:numId w:val="19"/>
        </w:numPr>
        <w:spacing w:before="120" w:after="0" w:line="276" w:lineRule="auto"/>
        <w:jc w:val="both"/>
        <w:rPr>
          <w:rFonts w:ascii="Times New Roman" w:eastAsia="Calibri" w:hAnsi="Times New Roman" w:cs="Times New Roman"/>
          <w:sz w:val="24"/>
          <w:szCs w:val="24"/>
        </w:rPr>
      </w:pPr>
      <w:r w:rsidRPr="006A236B">
        <w:rPr>
          <w:rFonts w:ascii="Times New Roman" w:eastAsia="Calibri" w:hAnsi="Times New Roman" w:cs="Times New Roman"/>
          <w:sz w:val="24"/>
          <w:szCs w:val="24"/>
        </w:rPr>
        <w:t xml:space="preserve">защита на потребителите чрез гарантиране на честни, прозрачни и недискриминационни условия за ползване на енергийни услуги. </w:t>
      </w:r>
    </w:p>
    <w:p w14:paraId="261188AE" w14:textId="77777777" w:rsidR="00DB28FB" w:rsidRPr="00DB28FB" w:rsidRDefault="00DB28FB" w:rsidP="006A236B">
      <w:pPr>
        <w:spacing w:after="0" w:line="276" w:lineRule="auto"/>
        <w:ind w:firstLine="709"/>
        <w:jc w:val="both"/>
        <w:rPr>
          <w:rFonts w:ascii="Times New Roman" w:eastAsia="Calibri" w:hAnsi="Times New Roman" w:cs="Times New Roman"/>
          <w:sz w:val="24"/>
          <w:szCs w:val="24"/>
        </w:rPr>
      </w:pPr>
    </w:p>
    <w:p w14:paraId="09B54578" w14:textId="77777777" w:rsidR="00DB28FB" w:rsidRPr="005B5EB3" w:rsidRDefault="00DB28FB" w:rsidP="00FC1D3C">
      <w:pPr>
        <w:spacing w:before="120" w:after="0" w:line="276" w:lineRule="auto"/>
        <w:ind w:firstLine="709"/>
        <w:jc w:val="both"/>
        <w:rPr>
          <w:rFonts w:ascii="Times New Roman" w:eastAsia="Calibri" w:hAnsi="Times New Roman" w:cs="Times New Roman"/>
          <w:i/>
          <w:iCs/>
          <w:sz w:val="24"/>
          <w:szCs w:val="24"/>
        </w:rPr>
      </w:pPr>
      <w:r w:rsidRPr="005B5EB3">
        <w:rPr>
          <w:rFonts w:ascii="Times New Roman" w:eastAsia="Calibri" w:hAnsi="Times New Roman" w:cs="Times New Roman"/>
          <w:i/>
          <w:iCs/>
          <w:sz w:val="24"/>
          <w:szCs w:val="24"/>
        </w:rPr>
        <w:t xml:space="preserve">Климат: </w:t>
      </w:r>
    </w:p>
    <w:p w14:paraId="0A36C04C" w14:textId="77777777" w:rsidR="00DB28FB" w:rsidRPr="006A236B" w:rsidRDefault="00DB28FB" w:rsidP="004F15F5">
      <w:pPr>
        <w:pStyle w:val="ListParagraph"/>
        <w:numPr>
          <w:ilvl w:val="0"/>
          <w:numId w:val="20"/>
        </w:numPr>
        <w:spacing w:before="120" w:after="0" w:line="276" w:lineRule="auto"/>
        <w:ind w:left="1080"/>
        <w:jc w:val="both"/>
        <w:rPr>
          <w:rFonts w:ascii="Times New Roman" w:eastAsia="Calibri" w:hAnsi="Times New Roman" w:cs="Times New Roman"/>
          <w:sz w:val="24"/>
          <w:szCs w:val="24"/>
        </w:rPr>
      </w:pPr>
      <w:r w:rsidRPr="006A236B">
        <w:rPr>
          <w:rFonts w:ascii="Times New Roman" w:eastAsia="Calibri" w:hAnsi="Times New Roman" w:cs="Times New Roman"/>
          <w:sz w:val="24"/>
          <w:szCs w:val="24"/>
        </w:rPr>
        <w:t xml:space="preserve">постигане на климатична неутралност до 2050 г. </w:t>
      </w:r>
    </w:p>
    <w:p w14:paraId="717BE3D2" w14:textId="77777777" w:rsidR="00DB28FB" w:rsidRPr="006A236B" w:rsidRDefault="00DB28FB" w:rsidP="004F15F5">
      <w:pPr>
        <w:pStyle w:val="ListParagraph"/>
        <w:numPr>
          <w:ilvl w:val="0"/>
          <w:numId w:val="20"/>
        </w:numPr>
        <w:spacing w:before="120" w:after="0" w:line="276" w:lineRule="auto"/>
        <w:ind w:left="1080"/>
        <w:jc w:val="both"/>
        <w:rPr>
          <w:rFonts w:ascii="Times New Roman" w:eastAsia="Calibri" w:hAnsi="Times New Roman" w:cs="Times New Roman"/>
          <w:sz w:val="24"/>
          <w:szCs w:val="24"/>
        </w:rPr>
      </w:pPr>
      <w:r w:rsidRPr="006A236B">
        <w:rPr>
          <w:rFonts w:ascii="Times New Roman" w:eastAsia="Calibri" w:hAnsi="Times New Roman" w:cs="Times New Roman"/>
          <w:sz w:val="24"/>
          <w:szCs w:val="24"/>
        </w:rPr>
        <w:t xml:space="preserve">Съгласно Регламент (ЕС) 2023/857 (Регламент за споделяне на усилията) България трябва да ограничи своите емисии на парникови газове, за секторите извън търговията с емисии, с -10% в сравнение с емисиите си през 2005 г. </w:t>
      </w:r>
    </w:p>
    <w:p w14:paraId="38DFE2AE" w14:textId="77777777" w:rsidR="00DB28FB" w:rsidRDefault="00DB28FB" w:rsidP="004F15F5">
      <w:pPr>
        <w:pStyle w:val="ListParagraph"/>
        <w:numPr>
          <w:ilvl w:val="0"/>
          <w:numId w:val="20"/>
        </w:numPr>
        <w:spacing w:before="120" w:after="0" w:line="276" w:lineRule="auto"/>
        <w:ind w:left="1080"/>
        <w:jc w:val="both"/>
        <w:rPr>
          <w:rFonts w:ascii="Times New Roman" w:eastAsia="Calibri" w:hAnsi="Times New Roman" w:cs="Times New Roman"/>
          <w:sz w:val="24"/>
          <w:szCs w:val="24"/>
        </w:rPr>
      </w:pPr>
      <w:r w:rsidRPr="006A236B">
        <w:rPr>
          <w:rFonts w:ascii="Times New Roman" w:eastAsia="Calibri" w:hAnsi="Times New Roman" w:cs="Times New Roman"/>
          <w:sz w:val="24"/>
          <w:szCs w:val="24"/>
        </w:rPr>
        <w:t>България трябва да гарантира, че сумата на емисиите и поглъщанията на парникови газове в сектора LULUCF постигната през 2030 г. не надвишава поглъщанията, след прилагане на гъвкавостта предвидена в регламента, целта от – 9 718 ктона CO</w:t>
      </w:r>
      <w:r w:rsidRPr="006A236B">
        <w:rPr>
          <w:rFonts w:ascii="Times New Roman" w:eastAsia="Calibri" w:hAnsi="Times New Roman" w:cs="Times New Roman"/>
          <w:sz w:val="24"/>
          <w:szCs w:val="24"/>
          <w:vertAlign w:val="subscript"/>
        </w:rPr>
        <w:t>2</w:t>
      </w:r>
      <w:r w:rsidRPr="006A236B">
        <w:rPr>
          <w:rFonts w:ascii="Times New Roman" w:eastAsia="Calibri" w:hAnsi="Times New Roman" w:cs="Times New Roman"/>
          <w:sz w:val="24"/>
          <w:szCs w:val="24"/>
        </w:rPr>
        <w:t xml:space="preserve">екв. </w:t>
      </w:r>
    </w:p>
    <w:p w14:paraId="42CAA41D" w14:textId="77777777" w:rsidR="005B5EB3" w:rsidRPr="006A236B" w:rsidRDefault="005B5EB3" w:rsidP="005B5EB3">
      <w:pPr>
        <w:pStyle w:val="ListParagraph"/>
        <w:spacing w:before="120" w:after="0" w:line="276" w:lineRule="auto"/>
        <w:ind w:left="1080"/>
        <w:jc w:val="both"/>
        <w:rPr>
          <w:rFonts w:ascii="Times New Roman" w:eastAsia="Calibri" w:hAnsi="Times New Roman" w:cs="Times New Roman"/>
          <w:sz w:val="24"/>
          <w:szCs w:val="24"/>
        </w:rPr>
      </w:pPr>
    </w:p>
    <w:p w14:paraId="0007FC90" w14:textId="77777777" w:rsidR="00B240F4" w:rsidRPr="00021F56" w:rsidRDefault="00A548F3" w:rsidP="00CB36D4">
      <w:pPr>
        <w:pStyle w:val="Heading1"/>
        <w:numPr>
          <w:ilvl w:val="0"/>
          <w:numId w:val="1"/>
        </w:numPr>
        <w:shd w:val="clear" w:color="auto" w:fill="E2EFD9" w:themeFill="accent6" w:themeFillTint="33"/>
        <w:spacing w:before="0" w:line="276" w:lineRule="auto"/>
        <w:ind w:left="0" w:firstLine="709"/>
        <w:jc w:val="both"/>
        <w:rPr>
          <w:rFonts w:ascii="Times New Roman" w:hAnsi="Times New Roman" w:cs="Times New Roman"/>
          <w:b/>
          <w:color w:val="auto"/>
          <w:sz w:val="28"/>
        </w:rPr>
      </w:pPr>
      <w:bookmarkStart w:id="1" w:name="_Toc202730000"/>
      <w:r w:rsidRPr="00021F56">
        <w:rPr>
          <w:rFonts w:ascii="Times New Roman" w:hAnsi="Times New Roman" w:cs="Times New Roman"/>
          <w:b/>
          <w:color w:val="auto"/>
          <w:sz w:val="28"/>
        </w:rPr>
        <w:t>ИНФОРМАЦИЯ ЗА КОНТАКТ С ВЪЗЛОЖИТЕЛЯ</w:t>
      </w:r>
      <w:bookmarkEnd w:id="1"/>
    </w:p>
    <w:p w14:paraId="4D70E180" w14:textId="77777777" w:rsidR="00CE42AD" w:rsidRPr="008142D2" w:rsidRDefault="00CE42AD" w:rsidP="008142D2">
      <w:pPr>
        <w:spacing w:after="0" w:line="240" w:lineRule="auto"/>
        <w:rPr>
          <w:rFonts w:ascii="Times New Roman" w:hAnsi="Times New Roman" w:cs="Times New Roman"/>
          <w:sz w:val="24"/>
          <w:szCs w:val="24"/>
        </w:rPr>
      </w:pPr>
    </w:p>
    <w:p w14:paraId="7E87C663" w14:textId="77777777" w:rsidR="00CE42AD" w:rsidRPr="008142D2" w:rsidRDefault="00CC4EFF" w:rsidP="00CD31BE">
      <w:pPr>
        <w:pStyle w:val="Heading2"/>
        <w:numPr>
          <w:ilvl w:val="0"/>
          <w:numId w:val="5"/>
        </w:numPr>
        <w:shd w:val="clear" w:color="auto" w:fill="E2EFD9" w:themeFill="accent6" w:themeFillTint="33"/>
        <w:spacing w:before="0" w:line="276" w:lineRule="auto"/>
        <w:ind w:left="0" w:firstLine="709"/>
        <w:jc w:val="both"/>
        <w:rPr>
          <w:rFonts w:ascii="Times New Roman" w:hAnsi="Times New Roman" w:cs="Times New Roman"/>
          <w:b/>
          <w:i/>
          <w:color w:val="auto"/>
        </w:rPr>
      </w:pPr>
      <w:bookmarkStart w:id="2" w:name="_Toc202730001"/>
      <w:r w:rsidRPr="00021F56">
        <w:rPr>
          <w:rFonts w:ascii="Times New Roman" w:hAnsi="Times New Roman" w:cs="Times New Roman"/>
          <w:b/>
          <w:i/>
          <w:color w:val="auto"/>
        </w:rPr>
        <w:t>Име, ЕГН, местожителство, гражданство на Възложителя – физическо лице, седалище и единен идентификационен номер на юридическото лице</w:t>
      </w:r>
      <w:bookmarkEnd w:id="2"/>
    </w:p>
    <w:p w14:paraId="39D2B81B" w14:textId="2A9C17B7" w:rsidR="00A27335" w:rsidRPr="006A236B" w:rsidRDefault="006A236B" w:rsidP="001D33CA">
      <w:pPr>
        <w:spacing w:after="0" w:line="276" w:lineRule="auto"/>
        <w:ind w:firstLine="709"/>
        <w:jc w:val="both"/>
        <w:rPr>
          <w:rFonts w:ascii="Times New Roman" w:hAnsi="Times New Roman" w:cs="Times New Roman"/>
          <w:sz w:val="24"/>
          <w:szCs w:val="24"/>
        </w:rPr>
      </w:pPr>
      <w:r w:rsidRPr="006A236B">
        <w:rPr>
          <w:rFonts w:ascii="Times New Roman" w:hAnsi="Times New Roman" w:cs="Times New Roman"/>
          <w:sz w:val="24"/>
          <w:szCs w:val="24"/>
        </w:rPr>
        <w:t>Министерство на околната среда и водите</w:t>
      </w:r>
      <w:r w:rsidR="005B5EB3">
        <w:rPr>
          <w:rFonts w:ascii="Times New Roman" w:hAnsi="Times New Roman" w:cs="Times New Roman"/>
          <w:sz w:val="24"/>
          <w:szCs w:val="24"/>
        </w:rPr>
        <w:t>.</w:t>
      </w:r>
    </w:p>
    <w:p w14:paraId="63EDAC43" w14:textId="77777777" w:rsidR="00CE42AD" w:rsidRPr="006A236B" w:rsidRDefault="00CE42AD" w:rsidP="001D33CA">
      <w:pPr>
        <w:spacing w:after="0" w:line="276" w:lineRule="auto"/>
        <w:ind w:firstLine="709"/>
        <w:jc w:val="both"/>
        <w:rPr>
          <w:rFonts w:ascii="Times New Roman" w:hAnsi="Times New Roman" w:cs="Times New Roman"/>
          <w:sz w:val="24"/>
          <w:szCs w:val="24"/>
        </w:rPr>
      </w:pPr>
    </w:p>
    <w:p w14:paraId="2FF678FB" w14:textId="77777777" w:rsidR="00CC4EFF" w:rsidRPr="006A236B" w:rsidRDefault="00CC4EFF" w:rsidP="00A67F98">
      <w:pPr>
        <w:pStyle w:val="Heading2"/>
        <w:numPr>
          <w:ilvl w:val="0"/>
          <w:numId w:val="5"/>
        </w:numPr>
        <w:shd w:val="clear" w:color="auto" w:fill="E2EFD9" w:themeFill="accent6" w:themeFillTint="33"/>
        <w:spacing w:before="0" w:line="276" w:lineRule="auto"/>
        <w:ind w:left="0" w:firstLine="709"/>
        <w:jc w:val="both"/>
        <w:rPr>
          <w:rFonts w:ascii="Times New Roman" w:hAnsi="Times New Roman" w:cs="Times New Roman"/>
          <w:b/>
          <w:i/>
          <w:color w:val="auto"/>
        </w:rPr>
      </w:pPr>
      <w:bookmarkStart w:id="3" w:name="_Toc202730002"/>
      <w:r w:rsidRPr="006A236B">
        <w:rPr>
          <w:rFonts w:ascii="Times New Roman" w:hAnsi="Times New Roman" w:cs="Times New Roman"/>
          <w:b/>
          <w:i/>
          <w:color w:val="auto"/>
        </w:rPr>
        <w:t>Пълен пощенски адрес</w:t>
      </w:r>
      <w:bookmarkEnd w:id="3"/>
    </w:p>
    <w:p w14:paraId="1D8C0B94" w14:textId="77777777" w:rsidR="00CE42AD" w:rsidRPr="00CD31BE" w:rsidRDefault="00CE42AD" w:rsidP="001D33CA">
      <w:pPr>
        <w:spacing w:after="0" w:line="276" w:lineRule="auto"/>
        <w:ind w:firstLine="709"/>
        <w:jc w:val="both"/>
        <w:rPr>
          <w:rFonts w:ascii="Times New Roman" w:hAnsi="Times New Roman" w:cs="Times New Roman"/>
          <w:sz w:val="24"/>
          <w:szCs w:val="24"/>
        </w:rPr>
      </w:pPr>
    </w:p>
    <w:p w14:paraId="0981718B" w14:textId="1D7876F7" w:rsidR="005B5EB3" w:rsidRPr="005B5EB3" w:rsidRDefault="005B5EB3" w:rsidP="005B5EB3">
      <w:pPr>
        <w:spacing w:after="0" w:line="276" w:lineRule="auto"/>
        <w:ind w:firstLine="709"/>
        <w:jc w:val="both"/>
        <w:rPr>
          <w:rFonts w:ascii="Times New Roman" w:hAnsi="Times New Roman" w:cs="Times New Roman"/>
          <w:sz w:val="24"/>
          <w:szCs w:val="24"/>
        </w:rPr>
      </w:pPr>
      <w:r w:rsidRPr="005B5EB3">
        <w:rPr>
          <w:rFonts w:ascii="Times New Roman" w:hAnsi="Times New Roman" w:cs="Times New Roman"/>
          <w:sz w:val="24"/>
          <w:szCs w:val="24"/>
        </w:rPr>
        <w:t>1000, гр. София, бул. „Княгиня Мария Луиза“ 22</w:t>
      </w:r>
      <w:r>
        <w:rPr>
          <w:rFonts w:ascii="Times New Roman" w:hAnsi="Times New Roman" w:cs="Times New Roman"/>
          <w:sz w:val="24"/>
          <w:szCs w:val="24"/>
        </w:rPr>
        <w:t>.</w:t>
      </w:r>
    </w:p>
    <w:p w14:paraId="5C9149C5" w14:textId="77777777" w:rsidR="006A236B" w:rsidRDefault="006A236B" w:rsidP="001D33CA">
      <w:pPr>
        <w:spacing w:after="0" w:line="276" w:lineRule="auto"/>
        <w:ind w:firstLine="709"/>
        <w:jc w:val="both"/>
        <w:rPr>
          <w:rFonts w:ascii="Times New Roman" w:hAnsi="Times New Roman" w:cs="Times New Roman"/>
          <w:sz w:val="24"/>
          <w:szCs w:val="24"/>
        </w:rPr>
      </w:pPr>
    </w:p>
    <w:p w14:paraId="4CC7FF9B" w14:textId="77777777" w:rsidR="00CC4EFF" w:rsidRPr="00B13658" w:rsidRDefault="00CC4EFF" w:rsidP="00A67F98">
      <w:pPr>
        <w:pStyle w:val="Heading2"/>
        <w:numPr>
          <w:ilvl w:val="0"/>
          <w:numId w:val="5"/>
        </w:numPr>
        <w:shd w:val="clear" w:color="auto" w:fill="E2EFD9" w:themeFill="accent6" w:themeFillTint="33"/>
        <w:spacing w:before="0" w:line="276" w:lineRule="auto"/>
        <w:ind w:left="0" w:firstLine="709"/>
        <w:jc w:val="both"/>
        <w:rPr>
          <w:rFonts w:ascii="Times New Roman" w:hAnsi="Times New Roman" w:cs="Times New Roman"/>
          <w:b/>
          <w:i/>
          <w:color w:val="auto"/>
        </w:rPr>
      </w:pPr>
      <w:bookmarkStart w:id="4" w:name="_Toc202730003"/>
      <w:r w:rsidRPr="00B13658">
        <w:rPr>
          <w:rFonts w:ascii="Times New Roman" w:hAnsi="Times New Roman" w:cs="Times New Roman"/>
          <w:b/>
          <w:i/>
          <w:color w:val="auto"/>
        </w:rPr>
        <w:lastRenderedPageBreak/>
        <w:t>Телефон, факс, Е-mail</w:t>
      </w:r>
      <w:bookmarkEnd w:id="4"/>
    </w:p>
    <w:p w14:paraId="2FA5AC82" w14:textId="77777777" w:rsidR="00A27335" w:rsidRPr="00B13658" w:rsidRDefault="00A27335" w:rsidP="001D33CA">
      <w:pPr>
        <w:spacing w:after="0" w:line="276" w:lineRule="auto"/>
        <w:ind w:firstLine="709"/>
        <w:jc w:val="both"/>
        <w:rPr>
          <w:rFonts w:ascii="Times New Roman" w:hAnsi="Times New Roman" w:cs="Times New Roman"/>
          <w:sz w:val="24"/>
          <w:szCs w:val="24"/>
        </w:rPr>
      </w:pPr>
    </w:p>
    <w:p w14:paraId="237D028E" w14:textId="77777777" w:rsidR="006A236B" w:rsidRPr="00B13658" w:rsidRDefault="006A236B" w:rsidP="006A236B">
      <w:pPr>
        <w:spacing w:after="0" w:line="276" w:lineRule="auto"/>
        <w:ind w:firstLine="709"/>
        <w:jc w:val="both"/>
        <w:rPr>
          <w:rFonts w:ascii="Times New Roman" w:hAnsi="Times New Roman" w:cs="Times New Roman"/>
          <w:sz w:val="24"/>
          <w:szCs w:val="24"/>
        </w:rPr>
      </w:pPr>
      <w:r w:rsidRPr="00B13658">
        <w:rPr>
          <w:rFonts w:ascii="Times New Roman" w:hAnsi="Times New Roman" w:cs="Times New Roman"/>
          <w:sz w:val="24"/>
          <w:szCs w:val="24"/>
        </w:rPr>
        <w:t>Министерство на околната среда и водите</w:t>
      </w:r>
    </w:p>
    <w:p w14:paraId="7D81BB93" w14:textId="71E7D984" w:rsidR="005B5EB3" w:rsidRPr="00B13658" w:rsidRDefault="005B5EB3" w:rsidP="005B5EB3">
      <w:pPr>
        <w:spacing w:after="0" w:line="276" w:lineRule="auto"/>
        <w:ind w:firstLine="709"/>
        <w:jc w:val="both"/>
        <w:rPr>
          <w:rFonts w:ascii="Times New Roman" w:hAnsi="Times New Roman" w:cs="Times New Roman"/>
          <w:sz w:val="24"/>
          <w:szCs w:val="24"/>
        </w:rPr>
      </w:pPr>
      <w:r w:rsidRPr="00B13658">
        <w:rPr>
          <w:rFonts w:ascii="Times New Roman" w:hAnsi="Times New Roman" w:cs="Times New Roman"/>
          <w:sz w:val="24"/>
          <w:szCs w:val="24"/>
        </w:rPr>
        <w:t>телефон: 02/ 940 60 00</w:t>
      </w:r>
      <w:r w:rsidR="00B13658">
        <w:rPr>
          <w:rFonts w:ascii="Times New Roman" w:hAnsi="Times New Roman" w:cs="Times New Roman"/>
          <w:sz w:val="24"/>
          <w:szCs w:val="24"/>
        </w:rPr>
        <w:t>,</w:t>
      </w:r>
      <w:r w:rsidRPr="00B13658">
        <w:rPr>
          <w:rFonts w:ascii="Times New Roman" w:hAnsi="Times New Roman" w:cs="Times New Roman"/>
          <w:sz w:val="24"/>
          <w:szCs w:val="24"/>
        </w:rPr>
        <w:t xml:space="preserve"> електронна поща: edno_gishe@moew.government.bg</w:t>
      </w:r>
    </w:p>
    <w:p w14:paraId="28D3C6C5" w14:textId="77777777" w:rsidR="00CE42AD" w:rsidRPr="008E0C78" w:rsidRDefault="00CE42AD" w:rsidP="001D33CA">
      <w:pPr>
        <w:spacing w:after="0" w:line="276" w:lineRule="auto"/>
        <w:ind w:firstLine="709"/>
        <w:jc w:val="both"/>
        <w:rPr>
          <w:rFonts w:ascii="Times New Roman" w:hAnsi="Times New Roman" w:cs="Times New Roman"/>
          <w:color w:val="FF0000"/>
          <w:sz w:val="24"/>
          <w:szCs w:val="24"/>
        </w:rPr>
      </w:pPr>
    </w:p>
    <w:p w14:paraId="5F7D3175" w14:textId="77777777" w:rsidR="00CC4EFF" w:rsidRPr="00691DBE" w:rsidRDefault="00C27DA8" w:rsidP="00A67F98">
      <w:pPr>
        <w:pStyle w:val="Heading2"/>
        <w:numPr>
          <w:ilvl w:val="0"/>
          <w:numId w:val="5"/>
        </w:numPr>
        <w:shd w:val="clear" w:color="auto" w:fill="E2EFD9" w:themeFill="accent6" w:themeFillTint="33"/>
        <w:spacing w:before="0" w:line="276" w:lineRule="auto"/>
        <w:ind w:left="0" w:firstLine="709"/>
        <w:jc w:val="both"/>
        <w:rPr>
          <w:rFonts w:ascii="Times New Roman" w:hAnsi="Times New Roman" w:cs="Times New Roman"/>
          <w:b/>
          <w:i/>
          <w:color w:val="000000" w:themeColor="text1"/>
        </w:rPr>
      </w:pPr>
      <w:bookmarkStart w:id="5" w:name="_Toc202730004"/>
      <w:r w:rsidRPr="00691DBE">
        <w:rPr>
          <w:rFonts w:ascii="Times New Roman" w:hAnsi="Times New Roman" w:cs="Times New Roman"/>
          <w:b/>
          <w:i/>
          <w:color w:val="000000" w:themeColor="text1"/>
        </w:rPr>
        <w:t>Лице за контакти</w:t>
      </w:r>
      <w:bookmarkEnd w:id="5"/>
    </w:p>
    <w:p w14:paraId="60DF30B1" w14:textId="77777777" w:rsidR="00662671" w:rsidRPr="008E0C78" w:rsidRDefault="00662671" w:rsidP="001D33CA">
      <w:pPr>
        <w:spacing w:after="0" w:line="276" w:lineRule="auto"/>
        <w:ind w:left="360"/>
        <w:jc w:val="both"/>
        <w:rPr>
          <w:rFonts w:ascii="Times New Roman" w:hAnsi="Times New Roman" w:cs="Times New Roman"/>
          <w:color w:val="FF0000"/>
          <w:sz w:val="24"/>
          <w:szCs w:val="24"/>
        </w:rPr>
      </w:pPr>
    </w:p>
    <w:p w14:paraId="3AFBEB6A" w14:textId="77777777" w:rsidR="00691DBE" w:rsidRPr="00691DBE" w:rsidRDefault="00691DBE" w:rsidP="00691DBE">
      <w:pPr>
        <w:spacing w:after="120" w:line="240" w:lineRule="auto"/>
        <w:jc w:val="both"/>
        <w:rPr>
          <w:rFonts w:ascii="Times New Roman" w:eastAsia="Calibri" w:hAnsi="Times New Roman" w:cs="Times New Roman"/>
          <w:sz w:val="24"/>
          <w:szCs w:val="24"/>
        </w:rPr>
      </w:pPr>
      <w:r w:rsidRPr="00691DBE">
        <w:rPr>
          <w:rFonts w:ascii="Times New Roman" w:eastAsia="Calibri" w:hAnsi="Times New Roman" w:cs="Times New Roman"/>
          <w:sz w:val="24"/>
          <w:szCs w:val="24"/>
        </w:rPr>
        <w:t>инж. Маргарита Томова, държавен експерт в отдел „Смекчаване на изменението на климата“ в Главна дирекция „Политика по изменение на климата“, e-mail: margarita.tomova@moew.government.bg, тел. 02/940 6237</w:t>
      </w:r>
    </w:p>
    <w:p w14:paraId="7E09679F" w14:textId="6CCE2204" w:rsidR="00A548F3" w:rsidRPr="008E0C78" w:rsidRDefault="00B240F4" w:rsidP="00424348">
      <w:pPr>
        <w:spacing w:after="0" w:line="276" w:lineRule="auto"/>
        <w:ind w:left="360"/>
        <w:jc w:val="both"/>
        <w:rPr>
          <w:rFonts w:ascii="Times New Roman" w:eastAsiaTheme="majorEastAsia" w:hAnsi="Times New Roman" w:cs="Times New Roman"/>
          <w:b/>
          <w:color w:val="FF0000"/>
          <w:sz w:val="32"/>
          <w:szCs w:val="32"/>
        </w:rPr>
      </w:pPr>
      <w:r w:rsidRPr="008E0C78">
        <w:rPr>
          <w:rFonts w:ascii="Times New Roman" w:hAnsi="Times New Roman" w:cs="Times New Roman"/>
          <w:b/>
          <w:color w:val="FF0000"/>
        </w:rPr>
        <w:br w:type="page"/>
      </w:r>
      <w:bookmarkStart w:id="6" w:name="_GoBack"/>
      <w:bookmarkEnd w:id="6"/>
    </w:p>
    <w:p w14:paraId="49D94495" w14:textId="77777777" w:rsidR="00A548F3" w:rsidRPr="00CD31BE" w:rsidRDefault="00A548F3" w:rsidP="00CD31BE">
      <w:pPr>
        <w:pStyle w:val="Heading1"/>
        <w:numPr>
          <w:ilvl w:val="0"/>
          <w:numId w:val="1"/>
        </w:numPr>
        <w:shd w:val="clear" w:color="auto" w:fill="E2EFD9" w:themeFill="accent6" w:themeFillTint="33"/>
        <w:spacing w:before="0" w:line="276" w:lineRule="auto"/>
        <w:ind w:left="0" w:firstLine="709"/>
        <w:jc w:val="both"/>
        <w:rPr>
          <w:rFonts w:ascii="Times New Roman" w:hAnsi="Times New Roman" w:cs="Times New Roman"/>
          <w:b/>
          <w:color w:val="auto"/>
          <w:sz w:val="28"/>
        </w:rPr>
      </w:pPr>
      <w:bookmarkStart w:id="7" w:name="_Toc202730005"/>
      <w:r w:rsidRPr="00CD31BE">
        <w:rPr>
          <w:rFonts w:ascii="Times New Roman" w:hAnsi="Times New Roman" w:cs="Times New Roman"/>
          <w:b/>
          <w:color w:val="auto"/>
          <w:sz w:val="28"/>
        </w:rPr>
        <w:lastRenderedPageBreak/>
        <w:t>ЗАДАНИЕ ЗА ОПРЕДЕЛЯНЕ НА ОБХВАТА И СЪДЪРЖАНИЕТО НА ЕКОЛОГИЧНАТА ОЦЕНКА</w:t>
      </w:r>
      <w:bookmarkEnd w:id="7"/>
    </w:p>
    <w:p w14:paraId="2F28F1DB" w14:textId="2D0C81D0" w:rsidR="00C47AAD" w:rsidRPr="00CD31BE" w:rsidRDefault="00176EF9" w:rsidP="001D33CA">
      <w:pPr>
        <w:spacing w:before="120" w:after="0" w:line="276" w:lineRule="auto"/>
        <w:ind w:firstLine="709"/>
        <w:jc w:val="both"/>
        <w:rPr>
          <w:rFonts w:ascii="Times New Roman" w:hAnsi="Times New Roman" w:cs="Times New Roman"/>
          <w:sz w:val="24"/>
          <w:szCs w:val="24"/>
        </w:rPr>
      </w:pPr>
      <w:r w:rsidRPr="00CD31BE">
        <w:rPr>
          <w:rFonts w:ascii="Times New Roman" w:hAnsi="Times New Roman" w:cs="Times New Roman"/>
          <w:sz w:val="24"/>
          <w:szCs w:val="24"/>
        </w:rPr>
        <w:t xml:space="preserve">Заданието </w:t>
      </w:r>
      <w:r w:rsidR="00F072AE" w:rsidRPr="00CD31BE">
        <w:rPr>
          <w:rFonts w:ascii="Times New Roman" w:hAnsi="Times New Roman" w:cs="Times New Roman"/>
          <w:sz w:val="24"/>
          <w:szCs w:val="24"/>
        </w:rPr>
        <w:t xml:space="preserve">за определяне на обхвата и съдържанието на </w:t>
      </w:r>
      <w:r w:rsidR="00CE42AD" w:rsidRPr="00CD31BE">
        <w:rPr>
          <w:rFonts w:ascii="Times New Roman" w:hAnsi="Times New Roman" w:cs="Times New Roman"/>
          <w:sz w:val="24"/>
          <w:szCs w:val="24"/>
        </w:rPr>
        <w:t xml:space="preserve">Доклада за </w:t>
      </w:r>
      <w:r w:rsidR="00F072AE" w:rsidRPr="00CD31BE">
        <w:rPr>
          <w:rFonts w:ascii="Times New Roman" w:hAnsi="Times New Roman" w:cs="Times New Roman"/>
          <w:sz w:val="24"/>
          <w:szCs w:val="24"/>
        </w:rPr>
        <w:t xml:space="preserve">ЕО </w:t>
      </w:r>
      <w:r w:rsidR="00C2056C" w:rsidRPr="00CD31BE">
        <w:rPr>
          <w:rFonts w:ascii="Times New Roman" w:hAnsi="Times New Roman" w:cs="Times New Roman"/>
          <w:sz w:val="24"/>
          <w:szCs w:val="24"/>
        </w:rPr>
        <w:t xml:space="preserve">за </w:t>
      </w:r>
      <w:r w:rsidR="005B5EB3">
        <w:rPr>
          <w:rFonts w:ascii="Times New Roman" w:hAnsi="Times New Roman" w:cs="Times New Roman"/>
          <w:sz w:val="24"/>
          <w:szCs w:val="24"/>
        </w:rPr>
        <w:t>ИПЕК</w:t>
      </w:r>
      <w:r w:rsidR="00C2056C" w:rsidRPr="00CD31BE">
        <w:rPr>
          <w:rFonts w:ascii="Times New Roman" w:hAnsi="Times New Roman" w:cs="Times New Roman"/>
          <w:sz w:val="24"/>
          <w:szCs w:val="24"/>
        </w:rPr>
        <w:t xml:space="preserve"> </w:t>
      </w:r>
      <w:r w:rsidRPr="00CD31BE">
        <w:rPr>
          <w:rFonts w:ascii="Times New Roman" w:hAnsi="Times New Roman" w:cs="Times New Roman"/>
          <w:sz w:val="24"/>
          <w:szCs w:val="24"/>
        </w:rPr>
        <w:t xml:space="preserve">е изготвено при съобразяване на изискванията на чл. 86, ал. 3 от </w:t>
      </w:r>
      <w:r w:rsidR="00CE42AD" w:rsidRPr="00CD31BE">
        <w:rPr>
          <w:rFonts w:ascii="Times New Roman" w:hAnsi="Times New Roman" w:cs="Times New Roman"/>
          <w:iCs/>
          <w:sz w:val="24"/>
          <w:szCs w:val="24"/>
        </w:rPr>
        <w:t>ЗООС</w:t>
      </w:r>
      <w:r w:rsidR="0061146A" w:rsidRPr="00CD31BE">
        <w:rPr>
          <w:rFonts w:ascii="Times New Roman" w:hAnsi="Times New Roman" w:cs="Times New Roman"/>
          <w:iCs/>
          <w:sz w:val="24"/>
          <w:szCs w:val="24"/>
        </w:rPr>
        <w:t xml:space="preserve">, в съответствие със степента на детайлност на проекта на </w:t>
      </w:r>
      <w:r w:rsidR="0063385A" w:rsidRPr="00CD31BE">
        <w:rPr>
          <w:rFonts w:ascii="Times New Roman" w:hAnsi="Times New Roman" w:cs="Times New Roman"/>
          <w:iCs/>
          <w:sz w:val="24"/>
          <w:szCs w:val="24"/>
        </w:rPr>
        <w:t>п</w:t>
      </w:r>
      <w:r w:rsidR="00CD31BE" w:rsidRPr="00CD31BE">
        <w:rPr>
          <w:rFonts w:ascii="Times New Roman" w:hAnsi="Times New Roman" w:cs="Times New Roman"/>
          <w:iCs/>
          <w:sz w:val="24"/>
          <w:szCs w:val="24"/>
        </w:rPr>
        <w:t>лана</w:t>
      </w:r>
      <w:r w:rsidR="0063385A" w:rsidRPr="00CD31BE">
        <w:rPr>
          <w:rFonts w:ascii="Times New Roman" w:hAnsi="Times New Roman" w:cs="Times New Roman"/>
          <w:iCs/>
          <w:sz w:val="24"/>
          <w:szCs w:val="24"/>
        </w:rPr>
        <w:t>,</w:t>
      </w:r>
      <w:r w:rsidR="00CE42AD" w:rsidRPr="00CD31BE">
        <w:rPr>
          <w:rFonts w:ascii="Times New Roman" w:hAnsi="Times New Roman" w:cs="Times New Roman"/>
          <w:i/>
          <w:sz w:val="24"/>
          <w:szCs w:val="24"/>
        </w:rPr>
        <w:t xml:space="preserve"> </w:t>
      </w:r>
      <w:r w:rsidR="00CE42AD" w:rsidRPr="00CD31BE">
        <w:rPr>
          <w:rFonts w:ascii="Times New Roman" w:hAnsi="Times New Roman" w:cs="Times New Roman"/>
          <w:iCs/>
          <w:sz w:val="24"/>
          <w:szCs w:val="24"/>
        </w:rPr>
        <w:t>и указанията в писмо на МОСВ с изх.</w:t>
      </w:r>
      <w:r w:rsidR="00CD31BE" w:rsidRPr="00CD31BE">
        <w:rPr>
          <w:rFonts w:ascii="Times New Roman" w:hAnsi="Times New Roman" w:cs="Times New Roman"/>
          <w:iCs/>
          <w:sz w:val="24"/>
          <w:szCs w:val="24"/>
        </w:rPr>
        <w:t xml:space="preserve"> </w:t>
      </w:r>
      <w:r w:rsidR="00486D2E" w:rsidRPr="00CD31BE">
        <w:rPr>
          <w:rFonts w:ascii="Times New Roman" w:hAnsi="Times New Roman" w:cs="Times New Roman"/>
          <w:iCs/>
          <w:sz w:val="24"/>
          <w:szCs w:val="24"/>
        </w:rPr>
        <w:t>№ ЕО-</w:t>
      </w:r>
      <w:r w:rsidR="00CD31BE" w:rsidRPr="00CD31BE">
        <w:rPr>
          <w:rFonts w:ascii="Times New Roman" w:hAnsi="Times New Roman" w:cs="Times New Roman"/>
          <w:iCs/>
          <w:sz w:val="24"/>
          <w:szCs w:val="24"/>
        </w:rPr>
        <w:t>3/15.</w:t>
      </w:r>
      <w:r w:rsidR="00486D2E" w:rsidRPr="00CD31BE">
        <w:rPr>
          <w:rFonts w:ascii="Times New Roman" w:hAnsi="Times New Roman" w:cs="Times New Roman"/>
          <w:iCs/>
          <w:sz w:val="24"/>
          <w:szCs w:val="24"/>
        </w:rPr>
        <w:t>0</w:t>
      </w:r>
      <w:r w:rsidR="00CD31BE" w:rsidRPr="00CD31BE">
        <w:rPr>
          <w:rFonts w:ascii="Times New Roman" w:hAnsi="Times New Roman" w:cs="Times New Roman"/>
          <w:iCs/>
          <w:sz w:val="24"/>
          <w:szCs w:val="24"/>
        </w:rPr>
        <w:t>7</w:t>
      </w:r>
      <w:r w:rsidR="00486D2E" w:rsidRPr="00CD31BE">
        <w:rPr>
          <w:rFonts w:ascii="Times New Roman" w:hAnsi="Times New Roman" w:cs="Times New Roman"/>
          <w:iCs/>
          <w:sz w:val="24"/>
          <w:szCs w:val="24"/>
        </w:rPr>
        <w:t>.202</w:t>
      </w:r>
      <w:r w:rsidR="00CD31BE" w:rsidRPr="00CD31BE">
        <w:rPr>
          <w:rFonts w:ascii="Times New Roman" w:hAnsi="Times New Roman" w:cs="Times New Roman"/>
          <w:iCs/>
          <w:sz w:val="24"/>
          <w:szCs w:val="24"/>
        </w:rPr>
        <w:t>4</w:t>
      </w:r>
      <w:r w:rsidR="00486D2E" w:rsidRPr="00CD31BE">
        <w:rPr>
          <w:rFonts w:ascii="Times New Roman" w:hAnsi="Times New Roman" w:cs="Times New Roman"/>
          <w:iCs/>
          <w:sz w:val="24"/>
          <w:szCs w:val="24"/>
        </w:rPr>
        <w:t xml:space="preserve"> г.</w:t>
      </w:r>
    </w:p>
    <w:tbl>
      <w:tblPr>
        <w:tblStyle w:val="TableGrid"/>
        <w:tblW w:w="0" w:type="auto"/>
        <w:tblLook w:val="04A0" w:firstRow="1" w:lastRow="0" w:firstColumn="1" w:lastColumn="0" w:noHBand="0" w:noVBand="1"/>
      </w:tblPr>
      <w:tblGrid>
        <w:gridCol w:w="9350"/>
      </w:tblGrid>
      <w:tr w:rsidR="00C47AAD" w:rsidRPr="00CD31BE" w14:paraId="4D1DD06E" w14:textId="77777777" w:rsidTr="00F072AE">
        <w:tc>
          <w:tcPr>
            <w:tcW w:w="9350" w:type="dxa"/>
            <w:tcBorders>
              <w:top w:val="nil"/>
              <w:left w:val="nil"/>
              <w:bottom w:val="nil"/>
              <w:right w:val="nil"/>
            </w:tcBorders>
          </w:tcPr>
          <w:p w14:paraId="50D31D59" w14:textId="5BFA7A2F" w:rsidR="00C47AAD" w:rsidRDefault="00C47AAD" w:rsidP="00CD31BE">
            <w:pPr>
              <w:spacing w:line="276" w:lineRule="auto"/>
              <w:ind w:firstLine="709"/>
              <w:jc w:val="both"/>
              <w:rPr>
                <w:rFonts w:ascii="Times New Roman" w:hAnsi="Times New Roman" w:cs="Times New Roman"/>
                <w:b/>
                <w:sz w:val="24"/>
                <w:szCs w:val="24"/>
              </w:rPr>
            </w:pPr>
            <w:r w:rsidRPr="00CD31BE">
              <w:rPr>
                <w:rFonts w:ascii="Times New Roman" w:hAnsi="Times New Roman" w:cs="Times New Roman"/>
                <w:b/>
                <w:sz w:val="24"/>
                <w:szCs w:val="24"/>
              </w:rPr>
              <w:t xml:space="preserve">Докладът за </w:t>
            </w:r>
            <w:r w:rsidR="007B31C0" w:rsidRPr="00CD31BE">
              <w:rPr>
                <w:rFonts w:ascii="Times New Roman" w:hAnsi="Times New Roman" w:cs="Times New Roman"/>
                <w:b/>
                <w:sz w:val="24"/>
                <w:szCs w:val="24"/>
              </w:rPr>
              <w:t>ЕО</w:t>
            </w:r>
            <w:r w:rsidRPr="00CD31BE">
              <w:rPr>
                <w:rFonts w:ascii="Times New Roman" w:hAnsi="Times New Roman" w:cs="Times New Roman"/>
                <w:b/>
                <w:sz w:val="24"/>
                <w:szCs w:val="24"/>
              </w:rPr>
              <w:t xml:space="preserve"> </w:t>
            </w:r>
            <w:r w:rsidR="00662671" w:rsidRPr="00CD31BE">
              <w:rPr>
                <w:rFonts w:ascii="Times New Roman" w:hAnsi="Times New Roman" w:cs="Times New Roman"/>
                <w:b/>
                <w:sz w:val="24"/>
                <w:szCs w:val="24"/>
              </w:rPr>
              <w:t xml:space="preserve">на </w:t>
            </w:r>
            <w:r w:rsidR="005B5EB3">
              <w:rPr>
                <w:rFonts w:ascii="Times New Roman" w:hAnsi="Times New Roman" w:cs="Times New Roman"/>
                <w:b/>
                <w:sz w:val="24"/>
                <w:szCs w:val="24"/>
              </w:rPr>
              <w:t>ИПЕК</w:t>
            </w:r>
            <w:r w:rsidR="00662671" w:rsidRPr="00CD31BE">
              <w:rPr>
                <w:rFonts w:ascii="Times New Roman" w:hAnsi="Times New Roman" w:cs="Times New Roman"/>
                <w:b/>
                <w:sz w:val="24"/>
                <w:szCs w:val="24"/>
              </w:rPr>
              <w:t xml:space="preserve"> </w:t>
            </w:r>
            <w:r w:rsidRPr="00CD31BE">
              <w:rPr>
                <w:rFonts w:ascii="Times New Roman" w:hAnsi="Times New Roman" w:cs="Times New Roman"/>
                <w:b/>
                <w:sz w:val="24"/>
                <w:szCs w:val="24"/>
              </w:rPr>
              <w:t>ще бъде изготвен в следните обхват и съдържание:</w:t>
            </w:r>
          </w:p>
          <w:p w14:paraId="4E19C16A" w14:textId="77777777" w:rsidR="00CD31BE" w:rsidRPr="00CD31BE" w:rsidRDefault="00CD31BE" w:rsidP="00CD31BE">
            <w:pPr>
              <w:spacing w:line="276" w:lineRule="auto"/>
              <w:ind w:firstLine="709"/>
              <w:jc w:val="both"/>
              <w:rPr>
                <w:rFonts w:ascii="Times New Roman" w:hAnsi="Times New Roman" w:cs="Times New Roman"/>
                <w:sz w:val="24"/>
                <w:szCs w:val="24"/>
                <w:highlight w:val="yellow"/>
              </w:rPr>
            </w:pPr>
          </w:p>
        </w:tc>
      </w:tr>
    </w:tbl>
    <w:p w14:paraId="0BD1EC66" w14:textId="10595109" w:rsidR="00662671" w:rsidRDefault="00176EF9" w:rsidP="004F15F5">
      <w:pPr>
        <w:pStyle w:val="Heading2"/>
        <w:numPr>
          <w:ilvl w:val="0"/>
          <w:numId w:val="8"/>
        </w:numPr>
        <w:shd w:val="clear" w:color="auto" w:fill="E2EFD9" w:themeFill="accent6" w:themeFillTint="33"/>
        <w:spacing w:before="0" w:line="276" w:lineRule="auto"/>
        <w:jc w:val="both"/>
        <w:rPr>
          <w:rFonts w:ascii="Times New Roman" w:hAnsi="Times New Roman" w:cs="Times New Roman"/>
          <w:b/>
          <w:i/>
          <w:color w:val="auto"/>
        </w:rPr>
      </w:pPr>
      <w:bookmarkStart w:id="8" w:name="_Toc513629181"/>
      <w:bookmarkStart w:id="9" w:name="_Toc202730006"/>
      <w:r w:rsidRPr="00CD31BE">
        <w:rPr>
          <w:rFonts w:ascii="Times New Roman" w:hAnsi="Times New Roman" w:cs="Times New Roman"/>
          <w:b/>
          <w:i/>
          <w:color w:val="auto"/>
        </w:rPr>
        <w:t xml:space="preserve">Описание на съдържанието на основните цели на </w:t>
      </w:r>
      <w:r w:rsidR="005B5EB3">
        <w:rPr>
          <w:rFonts w:ascii="Times New Roman" w:hAnsi="Times New Roman" w:cs="Times New Roman"/>
          <w:b/>
          <w:i/>
          <w:color w:val="auto"/>
        </w:rPr>
        <w:t>ИПЕК</w:t>
      </w:r>
      <w:r w:rsidR="00495D32" w:rsidRPr="00CD31BE">
        <w:rPr>
          <w:rFonts w:ascii="Times New Roman" w:hAnsi="Times New Roman" w:cs="Times New Roman"/>
          <w:b/>
          <w:i/>
          <w:color w:val="auto"/>
        </w:rPr>
        <w:t xml:space="preserve"> </w:t>
      </w:r>
      <w:r w:rsidRPr="00CD31BE">
        <w:rPr>
          <w:rFonts w:ascii="Times New Roman" w:hAnsi="Times New Roman" w:cs="Times New Roman"/>
          <w:b/>
          <w:i/>
          <w:color w:val="auto"/>
        </w:rPr>
        <w:t>и връзка с други съотносими планове и програми</w:t>
      </w:r>
      <w:bookmarkEnd w:id="8"/>
      <w:bookmarkEnd w:id="9"/>
    </w:p>
    <w:p w14:paraId="0F66AFC4" w14:textId="77777777" w:rsidR="00CD31BE" w:rsidRPr="00CD31BE" w:rsidRDefault="00CD31BE" w:rsidP="00CD31BE">
      <w:pPr>
        <w:spacing w:after="0" w:line="276" w:lineRule="auto"/>
        <w:rPr>
          <w:rFonts w:ascii="Times New Roman" w:hAnsi="Times New Roman" w:cs="Times New Roman"/>
          <w:sz w:val="24"/>
          <w:szCs w:val="24"/>
        </w:rPr>
      </w:pPr>
    </w:p>
    <w:p w14:paraId="7171BA35" w14:textId="34BBBA76" w:rsidR="00176EF9" w:rsidRPr="00CD31BE" w:rsidRDefault="00F1212C" w:rsidP="00CD31BE">
      <w:pPr>
        <w:pStyle w:val="Heading3"/>
        <w:shd w:val="clear" w:color="auto" w:fill="E2EFD9" w:themeFill="accent6" w:themeFillTint="33"/>
        <w:spacing w:before="0" w:line="276" w:lineRule="auto"/>
        <w:ind w:firstLine="709"/>
        <w:jc w:val="both"/>
        <w:rPr>
          <w:rFonts w:ascii="Times New Roman" w:hAnsi="Times New Roman" w:cs="Times New Roman"/>
          <w:b/>
          <w:color w:val="auto"/>
        </w:rPr>
      </w:pPr>
      <w:bookmarkStart w:id="10" w:name="_Toc513629182"/>
      <w:bookmarkStart w:id="11" w:name="_Toc202730007"/>
      <w:r w:rsidRPr="00CD31BE">
        <w:rPr>
          <w:rFonts w:ascii="Times New Roman" w:hAnsi="Times New Roman" w:cs="Times New Roman"/>
          <w:b/>
          <w:color w:val="auto"/>
        </w:rPr>
        <w:t>1.1. Основания</w:t>
      </w:r>
      <w:r w:rsidR="00176EF9" w:rsidRPr="00CD31BE">
        <w:rPr>
          <w:rFonts w:ascii="Times New Roman" w:hAnsi="Times New Roman" w:cs="Times New Roman"/>
          <w:b/>
          <w:color w:val="auto"/>
        </w:rPr>
        <w:t xml:space="preserve"> за </w:t>
      </w:r>
      <w:bookmarkEnd w:id="10"/>
      <w:r w:rsidR="00C2056C" w:rsidRPr="00CD31BE">
        <w:rPr>
          <w:rFonts w:ascii="Times New Roman" w:hAnsi="Times New Roman" w:cs="Times New Roman"/>
          <w:b/>
          <w:color w:val="auto"/>
        </w:rPr>
        <w:t xml:space="preserve">изготвяне на </w:t>
      </w:r>
      <w:r w:rsidR="005B5EB3">
        <w:rPr>
          <w:rFonts w:ascii="Times New Roman" w:hAnsi="Times New Roman" w:cs="Times New Roman"/>
          <w:b/>
          <w:color w:val="auto"/>
        </w:rPr>
        <w:t>ИПЕК</w:t>
      </w:r>
      <w:bookmarkEnd w:id="11"/>
    </w:p>
    <w:p w14:paraId="33017273" w14:textId="3FE6A866" w:rsidR="00CD31BE" w:rsidRPr="005810B8" w:rsidRDefault="008C33DC" w:rsidP="001D33CA">
      <w:pPr>
        <w:spacing w:before="120" w:after="0" w:line="276" w:lineRule="auto"/>
        <w:ind w:firstLine="720"/>
        <w:jc w:val="both"/>
        <w:rPr>
          <w:rFonts w:ascii="Times New Roman" w:hAnsi="Times New Roman" w:cs="Times New Roman"/>
          <w:sz w:val="24"/>
          <w:szCs w:val="24"/>
        </w:rPr>
      </w:pPr>
      <w:r w:rsidRPr="005810B8">
        <w:rPr>
          <w:rFonts w:ascii="Times New Roman" w:hAnsi="Times New Roman" w:cs="Times New Roman"/>
          <w:sz w:val="24"/>
          <w:szCs w:val="24"/>
        </w:rPr>
        <w:t>Интегрираните национални планове за енергетика и климат на държавите – членки на Европейския съюз се изготвят в съответствие с изискванията на Регламент (ЕС) 2018/1999 на Европейския парламент и на Съвета от 11</w:t>
      </w:r>
      <w:r w:rsidR="005810B8" w:rsidRPr="005810B8">
        <w:rPr>
          <w:rFonts w:ascii="Times New Roman" w:hAnsi="Times New Roman" w:cs="Times New Roman"/>
          <w:sz w:val="24"/>
          <w:szCs w:val="24"/>
        </w:rPr>
        <w:t>.</w:t>
      </w:r>
      <w:r w:rsidRPr="005810B8">
        <w:rPr>
          <w:rFonts w:ascii="Times New Roman" w:hAnsi="Times New Roman" w:cs="Times New Roman"/>
          <w:sz w:val="24"/>
          <w:szCs w:val="24"/>
        </w:rPr>
        <w:t>12</w:t>
      </w:r>
      <w:r w:rsidR="005810B8" w:rsidRPr="005810B8">
        <w:rPr>
          <w:rFonts w:ascii="Times New Roman" w:hAnsi="Times New Roman" w:cs="Times New Roman"/>
          <w:sz w:val="24"/>
          <w:szCs w:val="24"/>
        </w:rPr>
        <w:t>.</w:t>
      </w:r>
      <w:r w:rsidRPr="005810B8">
        <w:rPr>
          <w:rFonts w:ascii="Times New Roman" w:hAnsi="Times New Roman" w:cs="Times New Roman"/>
          <w:sz w:val="24"/>
          <w:szCs w:val="24"/>
        </w:rPr>
        <w:t>2018 г. относно управлението но Енергийния съюз и на действията в областта на климата, за изменение на регламенти (ЕО) № 663/2009 и (ЕО) № 715/2009 на Европейския парламент и на Съвета, директиви 94/22/ЕО, 98/70</w:t>
      </w:r>
      <w:r w:rsidR="005810B8" w:rsidRPr="005810B8">
        <w:rPr>
          <w:rFonts w:ascii="Times New Roman" w:hAnsi="Times New Roman" w:cs="Times New Roman"/>
          <w:sz w:val="24"/>
          <w:szCs w:val="24"/>
        </w:rPr>
        <w:t>/ЕО,</w:t>
      </w:r>
      <w:r w:rsidRPr="005810B8">
        <w:rPr>
          <w:rFonts w:ascii="Times New Roman" w:hAnsi="Times New Roman" w:cs="Times New Roman"/>
          <w:sz w:val="24"/>
          <w:szCs w:val="24"/>
        </w:rPr>
        <w:t xml:space="preserve"> 2009/31/</w:t>
      </w:r>
      <w:r w:rsidR="005810B8" w:rsidRPr="005810B8">
        <w:rPr>
          <w:rFonts w:ascii="Times New Roman" w:hAnsi="Times New Roman" w:cs="Times New Roman"/>
          <w:sz w:val="24"/>
          <w:szCs w:val="24"/>
        </w:rPr>
        <w:t>ЕО,</w:t>
      </w:r>
      <w:r w:rsidRPr="005810B8">
        <w:rPr>
          <w:rFonts w:ascii="Times New Roman" w:hAnsi="Times New Roman" w:cs="Times New Roman"/>
          <w:sz w:val="24"/>
          <w:szCs w:val="24"/>
        </w:rPr>
        <w:t xml:space="preserve"> 2009/73/</w:t>
      </w:r>
      <w:r w:rsidR="005810B8" w:rsidRPr="005810B8">
        <w:rPr>
          <w:rFonts w:ascii="Times New Roman" w:hAnsi="Times New Roman" w:cs="Times New Roman"/>
          <w:sz w:val="24"/>
          <w:szCs w:val="24"/>
        </w:rPr>
        <w:t>ЕО,</w:t>
      </w:r>
      <w:r w:rsidRPr="005810B8">
        <w:rPr>
          <w:rFonts w:ascii="Times New Roman" w:hAnsi="Times New Roman" w:cs="Times New Roman"/>
          <w:sz w:val="24"/>
          <w:szCs w:val="24"/>
        </w:rPr>
        <w:t xml:space="preserve"> 2010/31/</w:t>
      </w:r>
      <w:r w:rsidR="005810B8" w:rsidRPr="005810B8">
        <w:rPr>
          <w:rFonts w:ascii="Times New Roman" w:hAnsi="Times New Roman" w:cs="Times New Roman"/>
          <w:sz w:val="24"/>
          <w:szCs w:val="24"/>
        </w:rPr>
        <w:t>ЕС,</w:t>
      </w:r>
      <w:r w:rsidRPr="005810B8">
        <w:rPr>
          <w:rFonts w:ascii="Times New Roman" w:hAnsi="Times New Roman" w:cs="Times New Roman"/>
          <w:sz w:val="24"/>
          <w:szCs w:val="24"/>
        </w:rPr>
        <w:t xml:space="preserve"> 2012/27/</w:t>
      </w:r>
      <w:r w:rsidR="005810B8" w:rsidRPr="005810B8">
        <w:rPr>
          <w:rFonts w:ascii="Times New Roman" w:hAnsi="Times New Roman" w:cs="Times New Roman"/>
          <w:sz w:val="24"/>
          <w:szCs w:val="24"/>
        </w:rPr>
        <w:t>ЕС</w:t>
      </w:r>
      <w:r w:rsidRPr="005810B8">
        <w:rPr>
          <w:rFonts w:ascii="Times New Roman" w:hAnsi="Times New Roman" w:cs="Times New Roman"/>
          <w:sz w:val="24"/>
          <w:szCs w:val="24"/>
        </w:rPr>
        <w:t xml:space="preserve"> и 2013/30/</w:t>
      </w:r>
      <w:r w:rsidR="005810B8" w:rsidRPr="005810B8">
        <w:rPr>
          <w:rFonts w:ascii="Times New Roman" w:hAnsi="Times New Roman" w:cs="Times New Roman"/>
          <w:sz w:val="24"/>
          <w:szCs w:val="24"/>
        </w:rPr>
        <w:t>ЕС на</w:t>
      </w:r>
      <w:r w:rsidRPr="005810B8">
        <w:rPr>
          <w:rFonts w:ascii="Times New Roman" w:hAnsi="Times New Roman" w:cs="Times New Roman"/>
          <w:sz w:val="24"/>
          <w:szCs w:val="24"/>
        </w:rPr>
        <w:t xml:space="preserve"> Европейския парламент и на Съвета, директиви 2009/119/</w:t>
      </w:r>
      <w:r w:rsidR="005810B8" w:rsidRPr="005810B8">
        <w:rPr>
          <w:rFonts w:ascii="Times New Roman" w:hAnsi="Times New Roman" w:cs="Times New Roman"/>
          <w:sz w:val="24"/>
          <w:szCs w:val="24"/>
        </w:rPr>
        <w:t>ЕО</w:t>
      </w:r>
      <w:r w:rsidRPr="005810B8">
        <w:rPr>
          <w:rFonts w:ascii="Times New Roman" w:hAnsi="Times New Roman" w:cs="Times New Roman"/>
          <w:sz w:val="24"/>
          <w:szCs w:val="24"/>
        </w:rPr>
        <w:t xml:space="preserve"> и </w:t>
      </w:r>
      <w:r w:rsidR="005810B8" w:rsidRPr="005810B8">
        <w:rPr>
          <w:rFonts w:ascii="Times New Roman" w:hAnsi="Times New Roman" w:cs="Times New Roman"/>
          <w:sz w:val="24"/>
          <w:szCs w:val="24"/>
        </w:rPr>
        <w:t xml:space="preserve">(ЕС) </w:t>
      </w:r>
      <w:r w:rsidRPr="005810B8">
        <w:rPr>
          <w:rFonts w:ascii="Times New Roman" w:hAnsi="Times New Roman" w:cs="Times New Roman"/>
          <w:sz w:val="24"/>
          <w:szCs w:val="24"/>
        </w:rPr>
        <w:t xml:space="preserve">2015/652 на Съвета </w:t>
      </w:r>
      <w:r w:rsidR="00A66CEB" w:rsidRPr="005810B8">
        <w:rPr>
          <w:rFonts w:ascii="Times New Roman" w:hAnsi="Times New Roman" w:cs="Times New Roman"/>
          <w:sz w:val="24"/>
          <w:szCs w:val="24"/>
        </w:rPr>
        <w:t xml:space="preserve">и за отмяна на Регламент (ЕС) № 525/2013 </w:t>
      </w:r>
      <w:r w:rsidR="005810B8" w:rsidRPr="005810B8">
        <w:rPr>
          <w:rFonts w:ascii="Times New Roman" w:hAnsi="Times New Roman" w:cs="Times New Roman"/>
          <w:sz w:val="24"/>
          <w:szCs w:val="24"/>
        </w:rPr>
        <w:t xml:space="preserve">НА </w:t>
      </w:r>
      <w:r w:rsidR="00A66CEB" w:rsidRPr="005810B8">
        <w:rPr>
          <w:rFonts w:ascii="Times New Roman" w:hAnsi="Times New Roman" w:cs="Times New Roman"/>
          <w:sz w:val="24"/>
          <w:szCs w:val="24"/>
        </w:rPr>
        <w:t>Европейския парламент и на съвета.</w:t>
      </w:r>
    </w:p>
    <w:p w14:paraId="59906E88" w14:textId="77777777" w:rsidR="005810B8" w:rsidRPr="005810B8" w:rsidRDefault="005810B8" w:rsidP="005810B8">
      <w:pPr>
        <w:spacing w:after="0" w:line="276" w:lineRule="auto"/>
        <w:ind w:firstLine="709"/>
        <w:jc w:val="both"/>
        <w:rPr>
          <w:rFonts w:ascii="Times New Roman" w:hAnsi="Times New Roman" w:cs="Times New Roman"/>
          <w:sz w:val="24"/>
          <w:szCs w:val="24"/>
        </w:rPr>
      </w:pPr>
      <w:r w:rsidRPr="005810B8">
        <w:rPr>
          <w:rFonts w:ascii="Times New Roman" w:hAnsi="Times New Roman" w:cs="Times New Roman"/>
          <w:sz w:val="24"/>
          <w:szCs w:val="24"/>
        </w:rPr>
        <w:t xml:space="preserve">За изготвянето на актуализирания Интегриран план за енергетика и климат са използвани следните национални стратегически документи (и проекти на документи в процес на съгласуване): </w:t>
      </w:r>
    </w:p>
    <w:p w14:paraId="6A7EB64D" w14:textId="77777777" w:rsidR="00424348" w:rsidRDefault="00424348" w:rsidP="00424348">
      <w:pPr>
        <w:pStyle w:val="ListParagraph"/>
        <w:numPr>
          <w:ilvl w:val="0"/>
          <w:numId w:val="65"/>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t>Проект на Стратегия за устойчиво енергийно развитие до 2030 г., с хоризонт до 2050 г.;</w:t>
      </w:r>
    </w:p>
    <w:p w14:paraId="1A248BA1" w14:textId="18DE2303" w:rsidR="00424348" w:rsidRDefault="00424348" w:rsidP="00424348">
      <w:pPr>
        <w:pStyle w:val="ListParagraph"/>
        <w:numPr>
          <w:ilvl w:val="0"/>
          <w:numId w:val="65"/>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t>Пътна карта за климатична неутралност на Република България</w:t>
      </w:r>
      <w:r w:rsidR="00D40142">
        <w:rPr>
          <w:rFonts w:ascii="Times New Roman" w:hAnsi="Times New Roman" w:cs="Times New Roman"/>
          <w:color w:val="000000"/>
          <w:sz w:val="24"/>
          <w:szCs w:val="24"/>
        </w:rPr>
        <w:t xml:space="preserve"> </w:t>
      </w:r>
      <w:r w:rsidR="00D40142">
        <w:rPr>
          <w:rFonts w:ascii="Times New Roman" w:hAnsi="Times New Roman" w:cs="Times New Roman"/>
          <w:color w:val="000000"/>
          <w:sz w:val="24"/>
          <w:szCs w:val="24"/>
          <w:lang w:val="en-US"/>
        </w:rPr>
        <w:t>(</w:t>
      </w:r>
      <w:r w:rsidR="00D40142">
        <w:rPr>
          <w:rFonts w:ascii="Times New Roman" w:hAnsi="Times New Roman" w:cs="Times New Roman"/>
          <w:color w:val="000000"/>
          <w:sz w:val="24"/>
          <w:szCs w:val="24"/>
        </w:rPr>
        <w:t>проект</w:t>
      </w:r>
      <w:r w:rsidR="00D40142">
        <w:rPr>
          <w:rFonts w:ascii="Times New Roman" w:hAnsi="Times New Roman" w:cs="Times New Roman"/>
          <w:color w:val="000000"/>
          <w:sz w:val="24"/>
          <w:szCs w:val="24"/>
          <w:lang w:val="en-US"/>
        </w:rPr>
        <w:t>)</w:t>
      </w:r>
      <w:r w:rsidRPr="00A72E37">
        <w:rPr>
          <w:rFonts w:ascii="Times New Roman" w:hAnsi="Times New Roman" w:cs="Times New Roman"/>
          <w:color w:val="000000"/>
          <w:sz w:val="24"/>
          <w:szCs w:val="24"/>
        </w:rPr>
        <w:t>;</w:t>
      </w:r>
    </w:p>
    <w:p w14:paraId="070D694C" w14:textId="77777777" w:rsidR="00424348" w:rsidRDefault="00424348" w:rsidP="00424348">
      <w:pPr>
        <w:pStyle w:val="ListParagraph"/>
        <w:numPr>
          <w:ilvl w:val="0"/>
          <w:numId w:val="65"/>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t>Национална стратегия за развитие на минната индустрия до 2030 г.;</w:t>
      </w:r>
    </w:p>
    <w:p w14:paraId="288D38DD" w14:textId="77777777" w:rsidR="00424348" w:rsidRDefault="00424348" w:rsidP="00424348">
      <w:pPr>
        <w:pStyle w:val="ListParagraph"/>
        <w:numPr>
          <w:ilvl w:val="0"/>
          <w:numId w:val="65"/>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t>Стратегия за участието на България в Четвъртата индустриална революция;</w:t>
      </w:r>
    </w:p>
    <w:p w14:paraId="4CCB4F39" w14:textId="77777777" w:rsidR="00424348" w:rsidRDefault="00424348" w:rsidP="00424348">
      <w:pPr>
        <w:pStyle w:val="ListParagraph"/>
        <w:numPr>
          <w:ilvl w:val="0"/>
          <w:numId w:val="65"/>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t>Дългосрочна национална стратегия за подпомагане обновяването на националния фонд от жилищни и нежилищни сгради с хоризонт на изпълнение 2050 г.;</w:t>
      </w:r>
    </w:p>
    <w:p w14:paraId="2EAB2EDA" w14:textId="77777777" w:rsidR="00424348" w:rsidRDefault="00424348" w:rsidP="00424348">
      <w:pPr>
        <w:pStyle w:val="ListParagraph"/>
        <w:numPr>
          <w:ilvl w:val="0"/>
          <w:numId w:val="65"/>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t>Дългосрочна стратегия за смекчаване на изменението на климата до 2050 г. на Република България;</w:t>
      </w:r>
    </w:p>
    <w:p w14:paraId="78311F4F" w14:textId="77777777" w:rsidR="00424348" w:rsidRDefault="00424348" w:rsidP="00424348">
      <w:pPr>
        <w:pStyle w:val="ListParagraph"/>
        <w:numPr>
          <w:ilvl w:val="0"/>
          <w:numId w:val="65"/>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t>Иновационна стратегия за интелигентна специализация;</w:t>
      </w:r>
    </w:p>
    <w:p w14:paraId="0F8B09CC" w14:textId="77777777" w:rsidR="00424348" w:rsidRDefault="00424348" w:rsidP="00424348">
      <w:pPr>
        <w:pStyle w:val="ListParagraph"/>
        <w:numPr>
          <w:ilvl w:val="0"/>
          <w:numId w:val="65"/>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t>Национална програма за енергийна ефективност на многофамилни жилищни сгради;</w:t>
      </w:r>
    </w:p>
    <w:p w14:paraId="64038065" w14:textId="77777777" w:rsidR="00424348" w:rsidRDefault="00424348" w:rsidP="00424348">
      <w:pPr>
        <w:pStyle w:val="ListParagraph"/>
        <w:numPr>
          <w:ilvl w:val="0"/>
          <w:numId w:val="65"/>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t>Национална рамка за политика за развитието на пазара на алтернативни горива в транспортния сектор и за разгръщането на съответната инфраструктура;</w:t>
      </w:r>
    </w:p>
    <w:p w14:paraId="75617FC0" w14:textId="77777777" w:rsidR="00424348" w:rsidRDefault="00424348" w:rsidP="00424348">
      <w:pPr>
        <w:pStyle w:val="ListParagraph"/>
        <w:numPr>
          <w:ilvl w:val="0"/>
          <w:numId w:val="65"/>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t>Интегрирана транспортна стратегия в периода до 2030 г.;</w:t>
      </w:r>
    </w:p>
    <w:p w14:paraId="386ED985" w14:textId="77777777" w:rsidR="00424348" w:rsidRDefault="00424348" w:rsidP="00424348">
      <w:pPr>
        <w:pStyle w:val="ListParagraph"/>
        <w:numPr>
          <w:ilvl w:val="0"/>
          <w:numId w:val="65"/>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lastRenderedPageBreak/>
        <w:t>Национален план за развитие на комбинирания транспорт на Република България до 2030 г.;</w:t>
      </w:r>
    </w:p>
    <w:p w14:paraId="0F9B8508" w14:textId="77777777" w:rsidR="00424348" w:rsidRDefault="00424348" w:rsidP="00424348">
      <w:pPr>
        <w:pStyle w:val="ListParagraph"/>
        <w:numPr>
          <w:ilvl w:val="0"/>
          <w:numId w:val="65"/>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t>Национален план за действие за енергия от горска биомаса 2018–2027 г.;</w:t>
      </w:r>
    </w:p>
    <w:p w14:paraId="5C4B42D8" w14:textId="77777777" w:rsidR="00424348" w:rsidRDefault="00424348" w:rsidP="00424348">
      <w:pPr>
        <w:pStyle w:val="ListParagraph"/>
        <w:numPr>
          <w:ilvl w:val="0"/>
          <w:numId w:val="65"/>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t>Национална стратегия за адаптация към изменението на климата на Република България и План за действие;</w:t>
      </w:r>
    </w:p>
    <w:p w14:paraId="4E50487C" w14:textId="77777777" w:rsidR="00424348" w:rsidRDefault="00424348" w:rsidP="00424348">
      <w:pPr>
        <w:pStyle w:val="ListParagraph"/>
        <w:numPr>
          <w:ilvl w:val="0"/>
          <w:numId w:val="65"/>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t>Национална стратегия за развитие на научните изследвания в Република България 2017-2030 г.;</w:t>
      </w:r>
    </w:p>
    <w:p w14:paraId="78F9AC16" w14:textId="77777777" w:rsidR="00424348" w:rsidRDefault="00424348" w:rsidP="00424348">
      <w:pPr>
        <w:pStyle w:val="ListParagraph"/>
        <w:numPr>
          <w:ilvl w:val="0"/>
          <w:numId w:val="65"/>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t>План за развитие на преносната електрическа мрежа на България за периода 2023-2032 г.;</w:t>
      </w:r>
    </w:p>
    <w:p w14:paraId="1D4BCF8A" w14:textId="77777777" w:rsidR="00424348" w:rsidRDefault="00424348" w:rsidP="00424348">
      <w:pPr>
        <w:pStyle w:val="ListParagraph"/>
        <w:numPr>
          <w:ilvl w:val="0"/>
          <w:numId w:val="65"/>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t>Десетгодишен план за развитие на мрежите на „Булгартрансгаз“ ЕАД за периода 2023-2032 г.;</w:t>
      </w:r>
    </w:p>
    <w:p w14:paraId="0065AB3E" w14:textId="77777777" w:rsidR="00424348" w:rsidRPr="00A72E37" w:rsidRDefault="00424348" w:rsidP="00424348">
      <w:pPr>
        <w:pStyle w:val="ListParagraph"/>
        <w:numPr>
          <w:ilvl w:val="0"/>
          <w:numId w:val="65"/>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t>Национална пътна карта за подобряване на условията за разгръщане на потенциала за развитие на водородните технологии и механизмите за производство и доставка на водород.</w:t>
      </w:r>
    </w:p>
    <w:p w14:paraId="0ABBFD4C" w14:textId="0E5E4775" w:rsidR="00DB7899" w:rsidRPr="00DB7899" w:rsidRDefault="00DB7899" w:rsidP="00DB7899">
      <w:pPr>
        <w:spacing w:before="120" w:after="0" w:line="276" w:lineRule="auto"/>
        <w:ind w:firstLine="720"/>
        <w:jc w:val="both"/>
        <w:rPr>
          <w:rFonts w:ascii="Times New Roman" w:hAnsi="Times New Roman" w:cs="Times New Roman"/>
          <w:bCs/>
          <w:sz w:val="24"/>
          <w:szCs w:val="24"/>
        </w:rPr>
      </w:pPr>
      <w:r w:rsidRPr="00DB7899">
        <w:rPr>
          <w:rFonts w:ascii="Times New Roman" w:hAnsi="Times New Roman" w:cs="Times New Roman"/>
          <w:bCs/>
          <w:sz w:val="24"/>
          <w:szCs w:val="24"/>
        </w:rPr>
        <w:t>С</w:t>
      </w:r>
      <w:r>
        <w:rPr>
          <w:rFonts w:ascii="Times New Roman" w:hAnsi="Times New Roman" w:cs="Times New Roman"/>
          <w:bCs/>
          <w:sz w:val="24"/>
          <w:szCs w:val="24"/>
        </w:rPr>
        <w:t>ъгласно чл. 14 на Регламент (ЕС) 2018/1999, всяка държава-членка е задължена да представя на Европейската комисия актуализация на последно нотифицирания от нея интегриран национален план в областта на енергетиката и климата.</w:t>
      </w:r>
    </w:p>
    <w:p w14:paraId="68F0FBE3" w14:textId="77777777" w:rsidR="00C16F7B" w:rsidRPr="00DB7899" w:rsidRDefault="00C16F7B" w:rsidP="00DB7899">
      <w:pPr>
        <w:spacing w:after="0" w:line="276" w:lineRule="auto"/>
        <w:ind w:firstLine="709"/>
        <w:jc w:val="both"/>
        <w:rPr>
          <w:rFonts w:ascii="Times New Roman" w:hAnsi="Times New Roman" w:cs="Times New Roman"/>
          <w:sz w:val="24"/>
          <w:szCs w:val="24"/>
        </w:rPr>
      </w:pPr>
    </w:p>
    <w:p w14:paraId="7FFC24E7" w14:textId="3BC27B17" w:rsidR="005646EC" w:rsidRPr="00DB7899" w:rsidRDefault="005646EC" w:rsidP="007E015D">
      <w:pPr>
        <w:pStyle w:val="Heading3"/>
        <w:shd w:val="clear" w:color="auto" w:fill="E2EFD9" w:themeFill="accent6" w:themeFillTint="33"/>
        <w:spacing w:before="0" w:line="276" w:lineRule="auto"/>
        <w:ind w:firstLine="709"/>
        <w:jc w:val="both"/>
        <w:rPr>
          <w:rFonts w:ascii="Times New Roman" w:hAnsi="Times New Roman" w:cs="Times New Roman"/>
          <w:b/>
          <w:color w:val="auto"/>
        </w:rPr>
      </w:pPr>
      <w:bookmarkStart w:id="12" w:name="_Toc202730008"/>
      <w:r w:rsidRPr="00DB7899">
        <w:rPr>
          <w:rFonts w:ascii="Times New Roman" w:hAnsi="Times New Roman" w:cs="Times New Roman"/>
          <w:b/>
          <w:color w:val="auto"/>
        </w:rPr>
        <w:t xml:space="preserve">1.2. </w:t>
      </w:r>
      <w:r w:rsidR="00DF136C" w:rsidRPr="00DB7899">
        <w:rPr>
          <w:rFonts w:ascii="Times New Roman" w:hAnsi="Times New Roman" w:cs="Times New Roman"/>
          <w:b/>
          <w:color w:val="auto"/>
        </w:rPr>
        <w:t>О</w:t>
      </w:r>
      <w:r w:rsidR="00313290" w:rsidRPr="00DB7899">
        <w:rPr>
          <w:rFonts w:ascii="Times New Roman" w:hAnsi="Times New Roman" w:cs="Times New Roman"/>
          <w:b/>
          <w:color w:val="auto"/>
        </w:rPr>
        <w:t>сновни цели</w:t>
      </w:r>
      <w:r w:rsidR="00807167" w:rsidRPr="00DB7899">
        <w:rPr>
          <w:rFonts w:ascii="Times New Roman" w:hAnsi="Times New Roman" w:cs="Times New Roman"/>
          <w:b/>
          <w:color w:val="auto"/>
        </w:rPr>
        <w:t>, структура</w:t>
      </w:r>
      <w:r w:rsidR="00313290" w:rsidRPr="00DB7899">
        <w:rPr>
          <w:rFonts w:ascii="Times New Roman" w:hAnsi="Times New Roman" w:cs="Times New Roman"/>
          <w:b/>
          <w:color w:val="auto"/>
        </w:rPr>
        <w:t xml:space="preserve"> </w:t>
      </w:r>
      <w:r w:rsidR="00DF136C" w:rsidRPr="00DB7899">
        <w:rPr>
          <w:rFonts w:ascii="Times New Roman" w:hAnsi="Times New Roman" w:cs="Times New Roman"/>
          <w:b/>
          <w:color w:val="auto"/>
        </w:rPr>
        <w:t xml:space="preserve">и съдържание </w:t>
      </w:r>
      <w:r w:rsidRPr="00DB7899">
        <w:rPr>
          <w:rFonts w:ascii="Times New Roman" w:hAnsi="Times New Roman" w:cs="Times New Roman"/>
          <w:b/>
          <w:color w:val="auto"/>
        </w:rPr>
        <w:t xml:space="preserve">на </w:t>
      </w:r>
      <w:r w:rsidR="005B5EB3">
        <w:rPr>
          <w:rFonts w:ascii="Times New Roman" w:hAnsi="Times New Roman" w:cs="Times New Roman"/>
          <w:b/>
          <w:color w:val="auto"/>
        </w:rPr>
        <w:t>ИПЕК</w:t>
      </w:r>
      <w:bookmarkEnd w:id="12"/>
    </w:p>
    <w:p w14:paraId="0720B246" w14:textId="2278DFBE" w:rsidR="00DB7899" w:rsidRPr="00740223" w:rsidRDefault="00DB7899" w:rsidP="00DB7899">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Проектът на </w:t>
      </w:r>
      <w:r w:rsidR="005B5EB3">
        <w:rPr>
          <w:rFonts w:ascii="Times New Roman" w:hAnsi="Times New Roman" w:cs="Times New Roman"/>
          <w:sz w:val="24"/>
          <w:szCs w:val="24"/>
        </w:rPr>
        <w:t>ИПЕК</w:t>
      </w:r>
      <w:r>
        <w:rPr>
          <w:rFonts w:ascii="Times New Roman" w:hAnsi="Times New Roman" w:cs="Times New Roman"/>
          <w:sz w:val="24"/>
          <w:szCs w:val="24"/>
        </w:rPr>
        <w:t xml:space="preserve"> на Република България</w:t>
      </w:r>
      <w:r w:rsidR="00740223">
        <w:rPr>
          <w:rFonts w:ascii="Times New Roman" w:hAnsi="Times New Roman" w:cs="Times New Roman"/>
          <w:sz w:val="24"/>
          <w:szCs w:val="24"/>
        </w:rPr>
        <w:t xml:space="preserve"> – актуализация 2024 г. отразява по-високите цели, поставени с Европейската зелена сделка и Европейския закон за климат, Пакет „Готови за 55”, Планът </w:t>
      </w:r>
      <w:r w:rsidR="00740223">
        <w:rPr>
          <w:rFonts w:ascii="Times New Roman" w:hAnsi="Times New Roman" w:cs="Times New Roman"/>
          <w:sz w:val="24"/>
          <w:szCs w:val="24"/>
          <w:lang w:val="en-US"/>
        </w:rPr>
        <w:t>REPowerEU</w:t>
      </w:r>
      <w:r w:rsidR="00740223">
        <w:rPr>
          <w:rFonts w:ascii="Times New Roman" w:hAnsi="Times New Roman" w:cs="Times New Roman"/>
          <w:sz w:val="24"/>
          <w:szCs w:val="24"/>
        </w:rPr>
        <w:t xml:space="preserve">, както и последния доклад за България в рамките на Европейския семестър. </w:t>
      </w:r>
    </w:p>
    <w:p w14:paraId="0C63E0C1" w14:textId="77777777" w:rsidR="00740223" w:rsidRPr="006A1393" w:rsidRDefault="00740223" w:rsidP="006A1393">
      <w:pPr>
        <w:autoSpaceDE w:val="0"/>
        <w:autoSpaceDN w:val="0"/>
        <w:adjustRightInd w:val="0"/>
        <w:spacing w:after="0" w:line="276" w:lineRule="auto"/>
        <w:ind w:firstLine="709"/>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Като държава членка на Европейския съюз България споделя общата ценност за развитие на справедливо и благоденстващо общество с модерна, ресурсно ефективна и конкурентоспособна икономика, в която през 2050 г. няма нетни емисии на парникови газове. </w:t>
      </w:r>
    </w:p>
    <w:p w14:paraId="6EB1FDDD" w14:textId="77777777" w:rsidR="00DB7899" w:rsidRPr="006A1393" w:rsidRDefault="00740223" w:rsidP="006A1393">
      <w:pPr>
        <w:spacing w:after="0" w:line="276" w:lineRule="auto"/>
        <w:ind w:firstLine="709"/>
        <w:jc w:val="both"/>
        <w:rPr>
          <w:rFonts w:ascii="Times New Roman" w:hAnsi="Times New Roman" w:cs="Times New Roman"/>
          <w:sz w:val="24"/>
          <w:szCs w:val="24"/>
        </w:rPr>
      </w:pPr>
      <w:r w:rsidRPr="006A1393">
        <w:rPr>
          <w:rFonts w:ascii="Times New Roman" w:hAnsi="Times New Roman" w:cs="Times New Roman"/>
          <w:color w:val="000000"/>
          <w:sz w:val="24"/>
          <w:szCs w:val="24"/>
        </w:rPr>
        <w:t>Формулирането на ясни цели относно климата позволява те да бъдат пренесени в законодателни актове и да допринесат за по-чисти води, почви и въздух, за модернизиране на домовете и по-ниски сметки за енергия, за по-екологичен и ефективен транспорт, за по-полезни храни и по-добро здраве на сегашното и бъдещите поколения. Бизнесът също ще спечели от открилите се възможности за развитие на зелената икономика и създаването на работни места в сектори като производството на енергия от възобновяеми източници и подобряването на енергийната ефективност на сгради.</w:t>
      </w:r>
    </w:p>
    <w:p w14:paraId="3D64F881" w14:textId="77777777" w:rsidR="00DB7899" w:rsidRPr="006A1393" w:rsidRDefault="00740223" w:rsidP="006A1393">
      <w:pPr>
        <w:spacing w:after="0" w:line="276" w:lineRule="auto"/>
        <w:ind w:firstLine="709"/>
        <w:jc w:val="both"/>
        <w:rPr>
          <w:rFonts w:ascii="Times New Roman" w:hAnsi="Times New Roman" w:cs="Times New Roman"/>
          <w:sz w:val="24"/>
          <w:szCs w:val="24"/>
        </w:rPr>
      </w:pPr>
      <w:r w:rsidRPr="006A1393">
        <w:rPr>
          <w:rFonts w:ascii="Times New Roman" w:hAnsi="Times New Roman" w:cs="Times New Roman"/>
          <w:sz w:val="24"/>
          <w:szCs w:val="24"/>
        </w:rPr>
        <w:t>За по-ефективно изпълнение на климатичните политики и по-добра предвидимост за бизнеса декарбонизация е обвързана със секторни политики, с фокус върху енергетиката, индустрията, транспорта, сградите, селското стопанство и земеползването.</w:t>
      </w:r>
    </w:p>
    <w:p w14:paraId="659E3205" w14:textId="77777777" w:rsidR="00740223" w:rsidRPr="006A1393" w:rsidRDefault="00740223" w:rsidP="006A1393">
      <w:pPr>
        <w:autoSpaceDE w:val="0"/>
        <w:autoSpaceDN w:val="0"/>
        <w:adjustRightInd w:val="0"/>
        <w:spacing w:after="0" w:line="276" w:lineRule="auto"/>
        <w:ind w:firstLine="709"/>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Настоящата цел на ЕС до 2030 г. е спад на емисиите с 55%. За да бъде постигната, Европейският съюз обновява законодателството си. </w:t>
      </w:r>
    </w:p>
    <w:p w14:paraId="00F1DCC3" w14:textId="77777777" w:rsidR="00740223" w:rsidRPr="006A1393" w:rsidRDefault="00740223" w:rsidP="006A1393">
      <w:pPr>
        <w:autoSpaceDE w:val="0"/>
        <w:autoSpaceDN w:val="0"/>
        <w:adjustRightInd w:val="0"/>
        <w:spacing w:after="0" w:line="276" w:lineRule="auto"/>
        <w:ind w:firstLine="709"/>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lastRenderedPageBreak/>
        <w:t xml:space="preserve">Законодателният пакет известен като „Подготвени за цел 55“ включва регулации относно търговията с емисии, националните цели за намаляване на емисиите в някои сектори, промените в земеползването, емисиите в транспорта и други области. </w:t>
      </w:r>
    </w:p>
    <w:p w14:paraId="59AECA61" w14:textId="77777777" w:rsidR="00740223" w:rsidRPr="006A1393" w:rsidRDefault="00740223" w:rsidP="006A1393">
      <w:pPr>
        <w:autoSpaceDE w:val="0"/>
        <w:autoSpaceDN w:val="0"/>
        <w:adjustRightInd w:val="0"/>
        <w:spacing w:after="0" w:line="276" w:lineRule="auto"/>
        <w:ind w:firstLine="709"/>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Целта на ЕС до 2030 г. е намаляване на емисиите на парникови газове с 55% и постигане на 0% нетни емисии на парникови газове през 2050 г. За да бъде постигната, Европейският съюз обновява законодателството си. </w:t>
      </w:r>
    </w:p>
    <w:p w14:paraId="2196C528" w14:textId="77777777" w:rsidR="00740223" w:rsidRPr="006A1393" w:rsidRDefault="00740223" w:rsidP="006A1393">
      <w:pPr>
        <w:autoSpaceDE w:val="0"/>
        <w:autoSpaceDN w:val="0"/>
        <w:adjustRightInd w:val="0"/>
        <w:spacing w:after="0" w:line="276" w:lineRule="auto"/>
        <w:ind w:firstLine="709"/>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Законодателният пакет „Подготвени за цел 55“ включва законодателни предложения и изменения на съществуващото законодателство на ЕС, които ще допринесат за намаляването на нетните имисии на парникови газове в Съюза и декарбонизиране на икономиката за постигане на климатична неутралност по справедлив, разходоефективен и конкурентен начин. </w:t>
      </w:r>
    </w:p>
    <w:p w14:paraId="30164D46" w14:textId="77777777" w:rsidR="00740223" w:rsidRPr="006A1393" w:rsidRDefault="00740223" w:rsidP="006A1393">
      <w:pPr>
        <w:autoSpaceDE w:val="0"/>
        <w:autoSpaceDN w:val="0"/>
        <w:adjustRightInd w:val="0"/>
        <w:spacing w:after="0" w:line="276" w:lineRule="auto"/>
        <w:ind w:firstLine="709"/>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За да изпълни този ангажимент, ЕС определи следните обвързващи цели до 2030 г.: </w:t>
      </w:r>
    </w:p>
    <w:p w14:paraId="629F43AE" w14:textId="77777777" w:rsidR="00740223" w:rsidRPr="006A1393" w:rsidRDefault="00740223" w:rsidP="004F15F5">
      <w:pPr>
        <w:pStyle w:val="ListParagraph"/>
        <w:numPr>
          <w:ilvl w:val="0"/>
          <w:numId w:val="21"/>
        </w:numPr>
        <w:autoSpaceDE w:val="0"/>
        <w:autoSpaceDN w:val="0"/>
        <w:adjustRightInd w:val="0"/>
        <w:spacing w:after="213" w:line="276" w:lineRule="auto"/>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Намаляване на нетните емисии на парникови газове (ПГ) с най-малко 55% в сравнение с 1990 г. до 2030 г.; </w:t>
      </w:r>
    </w:p>
    <w:p w14:paraId="12F44E78" w14:textId="77777777" w:rsidR="00740223" w:rsidRPr="006A1393" w:rsidRDefault="00740223" w:rsidP="004F15F5">
      <w:pPr>
        <w:pStyle w:val="ListParagraph"/>
        <w:numPr>
          <w:ilvl w:val="0"/>
          <w:numId w:val="21"/>
        </w:numPr>
        <w:autoSpaceDE w:val="0"/>
        <w:autoSpaceDN w:val="0"/>
        <w:adjustRightInd w:val="0"/>
        <w:spacing w:after="213" w:line="276" w:lineRule="auto"/>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Намаляване на емисиите на парникови газове на ЕС с 40% до 2030 г. в сравнение с нивото от 2005 г. в секторите, които не са обхванати от европейската схема за търговия с емисии; </w:t>
      </w:r>
    </w:p>
    <w:p w14:paraId="4173066B" w14:textId="77777777" w:rsidR="00740223" w:rsidRPr="006A1393" w:rsidRDefault="00740223" w:rsidP="004F15F5">
      <w:pPr>
        <w:pStyle w:val="ListParagraph"/>
        <w:numPr>
          <w:ilvl w:val="0"/>
          <w:numId w:val="21"/>
        </w:numPr>
        <w:autoSpaceDE w:val="0"/>
        <w:autoSpaceDN w:val="0"/>
        <w:adjustRightInd w:val="0"/>
        <w:spacing w:after="213" w:line="276" w:lineRule="auto"/>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Намаляване на потреблението на енергия в ЕС с най-малко 11.7% през 2030 г. в сравнение с прогнозите на референтния сценарий на ЕС от 2020 г., така че крайното енергийно потребление на Съюза да не надхвърля 763 Mtoе. Постигане на поне 42.5% дял на енергия от възобновяеми източници в брутното крайно потребление на енергия в ЕС до 2030 г., със стремеж този дял да достигне 45% през 2030 г.; </w:t>
      </w:r>
    </w:p>
    <w:p w14:paraId="74CA12E1" w14:textId="77777777" w:rsidR="00740223" w:rsidRPr="006A1393" w:rsidRDefault="00740223" w:rsidP="004F15F5">
      <w:pPr>
        <w:pStyle w:val="ListParagraph"/>
        <w:numPr>
          <w:ilvl w:val="0"/>
          <w:numId w:val="21"/>
        </w:numPr>
        <w:autoSpaceDE w:val="0"/>
        <w:autoSpaceDN w:val="0"/>
        <w:adjustRightInd w:val="0"/>
        <w:spacing w:after="0" w:line="276" w:lineRule="auto"/>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Осигуряване на минимум 15% ниво на междусистемна електроенергийна свързаност между държавите членки. </w:t>
      </w:r>
    </w:p>
    <w:p w14:paraId="0743440B" w14:textId="77777777" w:rsidR="006A1393" w:rsidRDefault="006A1393" w:rsidP="006A1393">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3A9608AD" w14:textId="46E4739E" w:rsidR="00740223" w:rsidRPr="006A1393" w:rsidRDefault="00740223" w:rsidP="006A1393">
      <w:pPr>
        <w:autoSpaceDE w:val="0"/>
        <w:autoSpaceDN w:val="0"/>
        <w:adjustRightInd w:val="0"/>
        <w:spacing w:after="0" w:line="276" w:lineRule="auto"/>
        <w:ind w:firstLine="709"/>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В изпълнение на член 14 от Регламент (ЕС) 2018/1999, Република България има ангажимент да представи в ЕК проект на актуализиран </w:t>
      </w:r>
      <w:r w:rsidR="005B5EB3">
        <w:rPr>
          <w:rFonts w:ascii="Times New Roman" w:hAnsi="Times New Roman" w:cs="Times New Roman"/>
          <w:color w:val="000000"/>
          <w:sz w:val="24"/>
          <w:szCs w:val="24"/>
        </w:rPr>
        <w:t>ИПЕК</w:t>
      </w:r>
      <w:r w:rsidRPr="006A1393">
        <w:rPr>
          <w:rFonts w:ascii="Times New Roman" w:hAnsi="Times New Roman" w:cs="Times New Roman"/>
          <w:color w:val="000000"/>
          <w:sz w:val="24"/>
          <w:szCs w:val="24"/>
        </w:rPr>
        <w:t xml:space="preserve">, който следва да бъде одобрен от службите на ЕК до 30 юни 2024 г. </w:t>
      </w:r>
    </w:p>
    <w:p w14:paraId="28D7B4E8" w14:textId="01629A94" w:rsidR="00740223" w:rsidRPr="008E28BC" w:rsidRDefault="00740223" w:rsidP="006A1393">
      <w:pPr>
        <w:spacing w:before="120" w:after="0" w:line="276" w:lineRule="auto"/>
        <w:ind w:firstLine="709"/>
        <w:jc w:val="both"/>
        <w:rPr>
          <w:rFonts w:ascii="Times New Roman" w:hAnsi="Times New Roman" w:cs="Times New Roman"/>
          <w:sz w:val="24"/>
          <w:szCs w:val="24"/>
        </w:rPr>
      </w:pPr>
      <w:r w:rsidRPr="006A1393">
        <w:rPr>
          <w:rFonts w:ascii="Times New Roman" w:hAnsi="Times New Roman" w:cs="Times New Roman"/>
          <w:color w:val="000000"/>
          <w:sz w:val="24"/>
          <w:szCs w:val="24"/>
        </w:rPr>
        <w:t xml:space="preserve">Проектът на актуализиран </w:t>
      </w:r>
      <w:r w:rsidR="005B5EB3">
        <w:rPr>
          <w:rFonts w:ascii="Times New Roman" w:hAnsi="Times New Roman" w:cs="Times New Roman"/>
          <w:color w:val="000000"/>
          <w:sz w:val="24"/>
          <w:szCs w:val="24"/>
        </w:rPr>
        <w:t>ИПЕК</w:t>
      </w:r>
      <w:r w:rsidRPr="006A1393">
        <w:rPr>
          <w:rFonts w:ascii="Times New Roman" w:hAnsi="Times New Roman" w:cs="Times New Roman"/>
          <w:color w:val="000000"/>
          <w:sz w:val="24"/>
          <w:szCs w:val="24"/>
        </w:rPr>
        <w:t xml:space="preserve"> отразява по-високите цели поставени с Европейската зелена сделка и Европейския закон за климата, Пакетът „Готови за 55“, Планът RЕPowerEU, както и последният доклад за България в рамките на Европейския семестър.</w:t>
      </w:r>
    </w:p>
    <w:p w14:paraId="7643FCDF" w14:textId="6D9DB3AD" w:rsidR="00740223" w:rsidRPr="006A1393" w:rsidRDefault="00740223" w:rsidP="006A1393">
      <w:pPr>
        <w:autoSpaceDE w:val="0"/>
        <w:autoSpaceDN w:val="0"/>
        <w:adjustRightInd w:val="0"/>
        <w:spacing w:after="0" w:line="276" w:lineRule="auto"/>
        <w:ind w:firstLine="709"/>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Актуализираният </w:t>
      </w:r>
      <w:r w:rsidR="005B5EB3">
        <w:rPr>
          <w:rFonts w:ascii="Times New Roman" w:hAnsi="Times New Roman" w:cs="Times New Roman"/>
          <w:color w:val="000000"/>
          <w:sz w:val="24"/>
          <w:szCs w:val="24"/>
        </w:rPr>
        <w:t>ИПЕК</w:t>
      </w:r>
      <w:r w:rsidRPr="006A1393">
        <w:rPr>
          <w:rFonts w:ascii="Times New Roman" w:hAnsi="Times New Roman" w:cs="Times New Roman"/>
          <w:color w:val="000000"/>
          <w:sz w:val="24"/>
          <w:szCs w:val="24"/>
        </w:rPr>
        <w:t xml:space="preserve"> дефинира амбициозните цели и мерки, свързани с: </w:t>
      </w:r>
    </w:p>
    <w:p w14:paraId="2948F9FD" w14:textId="77777777" w:rsidR="00740223" w:rsidRPr="006A1393" w:rsidRDefault="00740223" w:rsidP="004F15F5">
      <w:pPr>
        <w:pStyle w:val="ListParagraph"/>
        <w:numPr>
          <w:ilvl w:val="0"/>
          <w:numId w:val="22"/>
        </w:numPr>
        <w:autoSpaceDE w:val="0"/>
        <w:autoSpaceDN w:val="0"/>
        <w:adjustRightInd w:val="0"/>
        <w:spacing w:after="0" w:line="276" w:lineRule="auto"/>
        <w:ind w:left="1080"/>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процеса за трансформация на националния енергиен микс; </w:t>
      </w:r>
    </w:p>
    <w:p w14:paraId="6FAB25DD" w14:textId="77777777" w:rsidR="00740223" w:rsidRPr="006A1393" w:rsidRDefault="00740223" w:rsidP="004F15F5">
      <w:pPr>
        <w:pStyle w:val="ListParagraph"/>
        <w:numPr>
          <w:ilvl w:val="0"/>
          <w:numId w:val="22"/>
        </w:numPr>
        <w:autoSpaceDE w:val="0"/>
        <w:autoSpaceDN w:val="0"/>
        <w:adjustRightInd w:val="0"/>
        <w:spacing w:after="213" w:line="276" w:lineRule="auto"/>
        <w:ind w:left="1080"/>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декарбонизация с устойчиво и достатъчно намаляване на емисиите в енергийния сектор благодарение на нови нисковъглеродни технологии и плавния преход към източници с ниски въглеродни емисии; </w:t>
      </w:r>
    </w:p>
    <w:p w14:paraId="13D89004" w14:textId="77777777" w:rsidR="00740223" w:rsidRPr="006A1393" w:rsidRDefault="00740223" w:rsidP="004F15F5">
      <w:pPr>
        <w:pStyle w:val="ListParagraph"/>
        <w:numPr>
          <w:ilvl w:val="0"/>
          <w:numId w:val="22"/>
        </w:numPr>
        <w:autoSpaceDE w:val="0"/>
        <w:autoSpaceDN w:val="0"/>
        <w:adjustRightInd w:val="0"/>
        <w:spacing w:after="0" w:line="276" w:lineRule="auto"/>
        <w:ind w:left="1080"/>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приемане на национална цел за климатична неутралност до 2050 г.; </w:t>
      </w:r>
    </w:p>
    <w:p w14:paraId="76199F53" w14:textId="46E13082" w:rsidR="00740223" w:rsidRPr="006A1393" w:rsidRDefault="00740223" w:rsidP="006A1393">
      <w:pPr>
        <w:autoSpaceDE w:val="0"/>
        <w:autoSpaceDN w:val="0"/>
        <w:adjustRightInd w:val="0"/>
        <w:spacing w:after="0" w:line="276" w:lineRule="auto"/>
        <w:ind w:firstLine="709"/>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lastRenderedPageBreak/>
        <w:t xml:space="preserve">Постигането на заложените цели ще затвърди ангажиментите, които България поема, във връзка с изпълнение на Парижкото споразумение за климата и на Европейската зелена сделка. Реализицията, чрез набор от мерки и дейности, на амбициозните цели е изцяло съобразена с действащото европейско законодателство. От страна на България са стартирани законодателни инициатива за промяна в националната нормативна уредба, които да спомогнат осъществяването на поставените в </w:t>
      </w:r>
      <w:r w:rsidR="005B5EB3">
        <w:rPr>
          <w:rFonts w:ascii="Times New Roman" w:hAnsi="Times New Roman" w:cs="Times New Roman"/>
          <w:color w:val="000000"/>
          <w:sz w:val="24"/>
          <w:szCs w:val="24"/>
        </w:rPr>
        <w:t>ИПЕК</w:t>
      </w:r>
      <w:r w:rsidRPr="006A1393">
        <w:rPr>
          <w:rFonts w:ascii="Times New Roman" w:hAnsi="Times New Roman" w:cs="Times New Roman"/>
          <w:color w:val="000000"/>
          <w:sz w:val="24"/>
          <w:szCs w:val="24"/>
        </w:rPr>
        <w:t xml:space="preserve"> цели. </w:t>
      </w:r>
    </w:p>
    <w:p w14:paraId="500223FE" w14:textId="77777777" w:rsidR="00740223" w:rsidRPr="006A1393" w:rsidRDefault="00740223" w:rsidP="006A1393">
      <w:pPr>
        <w:autoSpaceDE w:val="0"/>
        <w:autoSpaceDN w:val="0"/>
        <w:adjustRightInd w:val="0"/>
        <w:spacing w:after="0" w:line="276" w:lineRule="auto"/>
        <w:ind w:firstLine="709"/>
        <w:jc w:val="both"/>
        <w:rPr>
          <w:rFonts w:ascii="Times New Roman" w:hAnsi="Times New Roman" w:cs="Times New Roman"/>
          <w:sz w:val="24"/>
          <w:szCs w:val="24"/>
        </w:rPr>
      </w:pPr>
      <w:r w:rsidRPr="006A1393">
        <w:rPr>
          <w:rFonts w:ascii="Times New Roman" w:hAnsi="Times New Roman" w:cs="Times New Roman"/>
          <w:color w:val="000000"/>
          <w:sz w:val="24"/>
          <w:szCs w:val="24"/>
        </w:rPr>
        <w:t xml:space="preserve">България продължава да е една от енергоемките икономики и с голям процент на емисии от парникови газове в ЕС. Високата енергийна интензивност на икономиката и бавният напредък в постигането на целите за енергийна ефективност оказват отрицателно въздействие върху производителността и конкурентоспособността ѝ. Съществуват възможности за значителни икономии на енергия чрез целенасочени инвестиции в индустриалния, транспортния и жилищния сектор, както и за увеличаване на инвестициите в инфраструктура за чиста енергия. Водородът и електрическата енергия от възобновяеми източници и подобряването на енергийната ефективност са основни елементи от крайната цел на Европейския съюз, по която интензивно се работи и в България, като това ще спомогне за изграждането на климатично неутрална енергийна </w:t>
      </w:r>
      <w:r w:rsidRPr="006A1393">
        <w:rPr>
          <w:rFonts w:ascii="Times New Roman" w:hAnsi="Times New Roman" w:cs="Times New Roman"/>
          <w:sz w:val="24"/>
          <w:szCs w:val="24"/>
        </w:rPr>
        <w:t xml:space="preserve">система. </w:t>
      </w:r>
    </w:p>
    <w:p w14:paraId="7D2BB664" w14:textId="77777777" w:rsidR="00740223" w:rsidRPr="006A1393" w:rsidRDefault="00740223" w:rsidP="006A1393">
      <w:pPr>
        <w:autoSpaceDE w:val="0"/>
        <w:autoSpaceDN w:val="0"/>
        <w:adjustRightInd w:val="0"/>
        <w:spacing w:after="0" w:line="276" w:lineRule="auto"/>
        <w:ind w:firstLine="709"/>
        <w:jc w:val="both"/>
        <w:rPr>
          <w:rFonts w:ascii="Times New Roman" w:hAnsi="Times New Roman" w:cs="Times New Roman"/>
          <w:sz w:val="24"/>
          <w:szCs w:val="24"/>
        </w:rPr>
      </w:pPr>
      <w:r w:rsidRPr="006A1393">
        <w:rPr>
          <w:rFonts w:ascii="Times New Roman" w:hAnsi="Times New Roman" w:cs="Times New Roman"/>
          <w:sz w:val="24"/>
          <w:szCs w:val="24"/>
        </w:rPr>
        <w:t xml:space="preserve">Сектор „Енергетика“ е структуроопределящ отрасъл и в основата на бъдещото му развитие е ефективното използване на конвенционални и алтернативни енергийни ресурси, развитието на енергийния пазар и на интелигентнтите системи, прякото ангажиране на гражданите и обществото в енергийния преход, както и активното участие на потребителите в пазара на електрическа енергия. </w:t>
      </w:r>
    </w:p>
    <w:p w14:paraId="1101027B" w14:textId="77777777" w:rsidR="00740223" w:rsidRPr="006A1393" w:rsidRDefault="00740223" w:rsidP="006A1393">
      <w:pPr>
        <w:spacing w:after="0" w:line="276" w:lineRule="auto"/>
        <w:ind w:firstLine="709"/>
        <w:jc w:val="both"/>
        <w:rPr>
          <w:rFonts w:ascii="Times New Roman" w:hAnsi="Times New Roman" w:cs="Times New Roman"/>
          <w:sz w:val="24"/>
          <w:szCs w:val="24"/>
        </w:rPr>
      </w:pPr>
      <w:r w:rsidRPr="006A1393">
        <w:rPr>
          <w:rFonts w:ascii="Times New Roman" w:hAnsi="Times New Roman" w:cs="Times New Roman"/>
          <w:sz w:val="24"/>
          <w:szCs w:val="24"/>
        </w:rPr>
        <w:t>Основното предизвикателство е успешното реализиране на реформите в регионите с въглеродно интензивен енергиен сектор. Преходът на тези райони изисква комплексни хоризонтални мерки, високо ниво на инвестиции и не на последно място активна социална политика. Устойчивото преминаване към нисковъглеродна енергетика ще бъде извършено поетапно, чрез плавна замяна на изкопаемите горива с нови нискоемисионни технологии по начин, по който да не бъде изложена на риск системната адекватност.</w:t>
      </w:r>
    </w:p>
    <w:p w14:paraId="6EC8EEBD" w14:textId="77777777" w:rsidR="006A1393" w:rsidRDefault="006A1393" w:rsidP="006A1393">
      <w:pPr>
        <w:autoSpaceDE w:val="0"/>
        <w:autoSpaceDN w:val="0"/>
        <w:adjustRightInd w:val="0"/>
        <w:spacing w:after="0" w:line="276" w:lineRule="auto"/>
        <w:ind w:firstLine="709"/>
        <w:jc w:val="both"/>
        <w:rPr>
          <w:rFonts w:ascii="Times New Roman" w:hAnsi="Times New Roman" w:cs="Times New Roman"/>
          <w:b/>
          <w:bCs/>
          <w:sz w:val="24"/>
          <w:szCs w:val="24"/>
        </w:rPr>
      </w:pPr>
    </w:p>
    <w:p w14:paraId="2D7BC27F" w14:textId="770D2CFA" w:rsidR="00740223" w:rsidRPr="006A1393" w:rsidRDefault="00740223" w:rsidP="006A1393">
      <w:pPr>
        <w:autoSpaceDE w:val="0"/>
        <w:autoSpaceDN w:val="0"/>
        <w:adjustRightInd w:val="0"/>
        <w:spacing w:after="0" w:line="276" w:lineRule="auto"/>
        <w:ind w:firstLine="709"/>
        <w:jc w:val="both"/>
        <w:rPr>
          <w:rFonts w:ascii="Times New Roman" w:hAnsi="Times New Roman" w:cs="Times New Roman"/>
          <w:sz w:val="24"/>
          <w:szCs w:val="24"/>
        </w:rPr>
      </w:pPr>
      <w:r w:rsidRPr="006A1393">
        <w:rPr>
          <w:rFonts w:ascii="Times New Roman" w:hAnsi="Times New Roman" w:cs="Times New Roman"/>
          <w:b/>
          <w:bCs/>
          <w:sz w:val="24"/>
          <w:szCs w:val="24"/>
        </w:rPr>
        <w:t xml:space="preserve">Основните цели, заложени в </w:t>
      </w:r>
      <w:r w:rsidR="005B5EB3">
        <w:rPr>
          <w:rFonts w:ascii="Times New Roman" w:hAnsi="Times New Roman" w:cs="Times New Roman"/>
          <w:b/>
          <w:bCs/>
          <w:sz w:val="24"/>
          <w:szCs w:val="24"/>
        </w:rPr>
        <w:t>ИПЕК</w:t>
      </w:r>
      <w:r w:rsidRPr="006A1393">
        <w:rPr>
          <w:rFonts w:ascii="Times New Roman" w:hAnsi="Times New Roman" w:cs="Times New Roman"/>
          <w:b/>
          <w:bCs/>
          <w:sz w:val="24"/>
          <w:szCs w:val="24"/>
        </w:rPr>
        <w:t xml:space="preserve"> са: </w:t>
      </w:r>
    </w:p>
    <w:p w14:paraId="7FE14319" w14:textId="77777777" w:rsidR="00740223" w:rsidRPr="006A1393" w:rsidRDefault="00740223" w:rsidP="006A1393">
      <w:pPr>
        <w:autoSpaceDE w:val="0"/>
        <w:autoSpaceDN w:val="0"/>
        <w:adjustRightInd w:val="0"/>
        <w:spacing w:after="0" w:line="276" w:lineRule="auto"/>
        <w:ind w:firstLine="709"/>
        <w:jc w:val="both"/>
        <w:rPr>
          <w:rFonts w:ascii="Times New Roman" w:hAnsi="Times New Roman" w:cs="Times New Roman"/>
          <w:sz w:val="24"/>
          <w:szCs w:val="24"/>
        </w:rPr>
      </w:pPr>
      <w:r w:rsidRPr="006A1393">
        <w:rPr>
          <w:rFonts w:ascii="Times New Roman" w:hAnsi="Times New Roman" w:cs="Times New Roman"/>
          <w:sz w:val="24"/>
          <w:szCs w:val="24"/>
        </w:rPr>
        <w:t xml:space="preserve">• стимулиране на нисковъглеродно развитие на икономиката; </w:t>
      </w:r>
    </w:p>
    <w:p w14:paraId="7FD8026D" w14:textId="77777777" w:rsidR="00740223" w:rsidRPr="006A1393" w:rsidRDefault="00740223" w:rsidP="006A1393">
      <w:pPr>
        <w:autoSpaceDE w:val="0"/>
        <w:autoSpaceDN w:val="0"/>
        <w:adjustRightInd w:val="0"/>
        <w:spacing w:after="0" w:line="276" w:lineRule="auto"/>
        <w:ind w:firstLine="709"/>
        <w:jc w:val="both"/>
        <w:rPr>
          <w:rFonts w:ascii="Times New Roman" w:hAnsi="Times New Roman" w:cs="Times New Roman"/>
          <w:sz w:val="24"/>
          <w:szCs w:val="24"/>
        </w:rPr>
      </w:pPr>
      <w:r w:rsidRPr="006A1393">
        <w:rPr>
          <w:rFonts w:ascii="Times New Roman" w:hAnsi="Times New Roman" w:cs="Times New Roman"/>
          <w:sz w:val="24"/>
          <w:szCs w:val="24"/>
        </w:rPr>
        <w:t xml:space="preserve">• развитие на конкурентоспособна и сигурна енергетика; </w:t>
      </w:r>
    </w:p>
    <w:p w14:paraId="1CE2029D" w14:textId="77777777" w:rsidR="00740223" w:rsidRPr="006A1393" w:rsidRDefault="00740223" w:rsidP="006A1393">
      <w:pPr>
        <w:autoSpaceDE w:val="0"/>
        <w:autoSpaceDN w:val="0"/>
        <w:adjustRightInd w:val="0"/>
        <w:spacing w:after="0" w:line="276" w:lineRule="auto"/>
        <w:ind w:firstLine="709"/>
        <w:jc w:val="both"/>
        <w:rPr>
          <w:rFonts w:ascii="Times New Roman" w:hAnsi="Times New Roman" w:cs="Times New Roman"/>
          <w:sz w:val="24"/>
          <w:szCs w:val="24"/>
        </w:rPr>
      </w:pPr>
      <w:r w:rsidRPr="006A1393">
        <w:rPr>
          <w:rFonts w:ascii="Times New Roman" w:hAnsi="Times New Roman" w:cs="Times New Roman"/>
          <w:sz w:val="24"/>
          <w:szCs w:val="24"/>
        </w:rPr>
        <w:t xml:space="preserve">• намаляване зависимостта от внос на горива и енергия; </w:t>
      </w:r>
    </w:p>
    <w:p w14:paraId="258B13FC" w14:textId="77777777" w:rsidR="00740223" w:rsidRPr="006A1393" w:rsidRDefault="00740223" w:rsidP="006A1393">
      <w:pPr>
        <w:autoSpaceDE w:val="0"/>
        <w:autoSpaceDN w:val="0"/>
        <w:adjustRightInd w:val="0"/>
        <w:spacing w:after="0" w:line="276" w:lineRule="auto"/>
        <w:ind w:firstLine="709"/>
        <w:jc w:val="both"/>
        <w:rPr>
          <w:rFonts w:ascii="Times New Roman" w:hAnsi="Times New Roman" w:cs="Times New Roman"/>
          <w:sz w:val="24"/>
          <w:szCs w:val="24"/>
        </w:rPr>
      </w:pPr>
      <w:r w:rsidRPr="006A1393">
        <w:rPr>
          <w:rFonts w:ascii="Times New Roman" w:hAnsi="Times New Roman" w:cs="Times New Roman"/>
          <w:sz w:val="24"/>
          <w:szCs w:val="24"/>
        </w:rPr>
        <w:t xml:space="preserve">• гарантиране на енергия на достъпни цени за всички потребители. </w:t>
      </w:r>
    </w:p>
    <w:p w14:paraId="638A60F1" w14:textId="77777777" w:rsidR="00740223" w:rsidRPr="006A1393" w:rsidRDefault="00740223" w:rsidP="006A1393">
      <w:pPr>
        <w:spacing w:after="0" w:line="276" w:lineRule="auto"/>
        <w:ind w:firstLine="709"/>
        <w:jc w:val="both"/>
        <w:rPr>
          <w:rFonts w:ascii="Times New Roman" w:hAnsi="Times New Roman" w:cs="Times New Roman"/>
          <w:sz w:val="24"/>
          <w:szCs w:val="24"/>
        </w:rPr>
      </w:pPr>
    </w:p>
    <w:p w14:paraId="4EB5F8CF" w14:textId="77777777" w:rsidR="00740223" w:rsidRPr="006A1393" w:rsidRDefault="00740223" w:rsidP="006A1393">
      <w:pPr>
        <w:autoSpaceDE w:val="0"/>
        <w:autoSpaceDN w:val="0"/>
        <w:adjustRightInd w:val="0"/>
        <w:spacing w:after="0" w:line="276" w:lineRule="auto"/>
        <w:ind w:firstLine="709"/>
        <w:jc w:val="both"/>
        <w:rPr>
          <w:rFonts w:ascii="Times New Roman" w:hAnsi="Times New Roman" w:cs="Times New Roman"/>
          <w:sz w:val="24"/>
          <w:szCs w:val="24"/>
        </w:rPr>
      </w:pPr>
      <w:r w:rsidRPr="006A1393">
        <w:rPr>
          <w:rFonts w:ascii="Times New Roman" w:hAnsi="Times New Roman" w:cs="Times New Roman"/>
          <w:sz w:val="24"/>
          <w:szCs w:val="24"/>
        </w:rPr>
        <w:t xml:space="preserve">Националните приоритети в областта на енергетиката и климата могат да бъдат обобщени, както следва: </w:t>
      </w:r>
    </w:p>
    <w:p w14:paraId="3616EF52" w14:textId="77777777" w:rsidR="00740223" w:rsidRPr="006A1393" w:rsidRDefault="00740223" w:rsidP="006A1393">
      <w:pPr>
        <w:autoSpaceDE w:val="0"/>
        <w:autoSpaceDN w:val="0"/>
        <w:adjustRightInd w:val="0"/>
        <w:spacing w:after="0" w:line="276" w:lineRule="auto"/>
        <w:ind w:firstLine="709"/>
        <w:jc w:val="both"/>
        <w:rPr>
          <w:rFonts w:ascii="Times New Roman" w:hAnsi="Times New Roman" w:cs="Times New Roman"/>
          <w:b/>
          <w:sz w:val="24"/>
          <w:szCs w:val="24"/>
        </w:rPr>
      </w:pPr>
      <w:r w:rsidRPr="006A1393">
        <w:rPr>
          <w:rFonts w:ascii="Times New Roman" w:hAnsi="Times New Roman" w:cs="Times New Roman"/>
          <w:b/>
          <w:sz w:val="24"/>
          <w:szCs w:val="24"/>
        </w:rPr>
        <w:t xml:space="preserve">Енергетика: </w:t>
      </w:r>
    </w:p>
    <w:p w14:paraId="28E7F9A0" w14:textId="77777777" w:rsidR="00740223" w:rsidRPr="006A1393" w:rsidRDefault="00740223" w:rsidP="004F15F5">
      <w:pPr>
        <w:pStyle w:val="ListParagraph"/>
        <w:numPr>
          <w:ilvl w:val="0"/>
          <w:numId w:val="23"/>
        </w:numPr>
        <w:autoSpaceDE w:val="0"/>
        <w:autoSpaceDN w:val="0"/>
        <w:adjustRightInd w:val="0"/>
        <w:spacing w:after="0" w:line="276" w:lineRule="auto"/>
        <w:jc w:val="both"/>
        <w:rPr>
          <w:rFonts w:ascii="Times New Roman" w:hAnsi="Times New Roman" w:cs="Times New Roman"/>
          <w:sz w:val="24"/>
          <w:szCs w:val="24"/>
        </w:rPr>
      </w:pPr>
      <w:r w:rsidRPr="006A1393">
        <w:rPr>
          <w:rFonts w:ascii="Times New Roman" w:hAnsi="Times New Roman" w:cs="Times New Roman"/>
          <w:sz w:val="24"/>
          <w:szCs w:val="24"/>
        </w:rPr>
        <w:t xml:space="preserve">повишаване на енергийната сигурност и диверсификация на доставките на енергийни ресурси; </w:t>
      </w:r>
    </w:p>
    <w:p w14:paraId="66604AFC" w14:textId="77777777" w:rsidR="00740223" w:rsidRPr="006A1393" w:rsidRDefault="00740223" w:rsidP="004F15F5">
      <w:pPr>
        <w:pStyle w:val="ListParagraph"/>
        <w:numPr>
          <w:ilvl w:val="0"/>
          <w:numId w:val="23"/>
        </w:numPr>
        <w:autoSpaceDE w:val="0"/>
        <w:autoSpaceDN w:val="0"/>
        <w:adjustRightInd w:val="0"/>
        <w:spacing w:after="213" w:line="276" w:lineRule="auto"/>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развитие на интегриран и конкурентен енергиен пазар; </w:t>
      </w:r>
    </w:p>
    <w:p w14:paraId="172999EA" w14:textId="77777777" w:rsidR="00740223" w:rsidRPr="006A1393" w:rsidRDefault="00740223" w:rsidP="004F15F5">
      <w:pPr>
        <w:pStyle w:val="ListParagraph"/>
        <w:numPr>
          <w:ilvl w:val="0"/>
          <w:numId w:val="23"/>
        </w:numPr>
        <w:autoSpaceDE w:val="0"/>
        <w:autoSpaceDN w:val="0"/>
        <w:adjustRightInd w:val="0"/>
        <w:spacing w:after="213" w:line="276" w:lineRule="auto"/>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lastRenderedPageBreak/>
        <w:t xml:space="preserve">ускоряване на процеса по въвеждане на производството и потреблението на енергия от ВИ, насърчаване на потреблението на собствена енергия от ВИ, развитието на общности за възобновяема енергия и развитието на свързаната с тези процеси енергийна инфраструктура за пренос, разпределение и съхранения на енергия от ВИ, развитие на мрежите; </w:t>
      </w:r>
    </w:p>
    <w:p w14:paraId="32025CDB" w14:textId="77777777" w:rsidR="00740223" w:rsidRPr="006A1393" w:rsidRDefault="00740223" w:rsidP="004F15F5">
      <w:pPr>
        <w:pStyle w:val="ListParagraph"/>
        <w:numPr>
          <w:ilvl w:val="0"/>
          <w:numId w:val="23"/>
        </w:numPr>
        <w:autoSpaceDE w:val="0"/>
        <w:autoSpaceDN w:val="0"/>
        <w:adjustRightInd w:val="0"/>
        <w:spacing w:after="213" w:line="276" w:lineRule="auto"/>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повишаване на енергийната ефективност чрез развитие и прилагане на нови технологии за постигане на модерна и устойчива енергетика; </w:t>
      </w:r>
    </w:p>
    <w:p w14:paraId="1FB115E7" w14:textId="77777777" w:rsidR="00740223" w:rsidRDefault="00740223" w:rsidP="004F15F5">
      <w:pPr>
        <w:pStyle w:val="ListParagraph"/>
        <w:numPr>
          <w:ilvl w:val="0"/>
          <w:numId w:val="23"/>
        </w:numPr>
        <w:autoSpaceDE w:val="0"/>
        <w:autoSpaceDN w:val="0"/>
        <w:adjustRightInd w:val="0"/>
        <w:spacing w:after="0" w:line="276" w:lineRule="auto"/>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защита на потребителите чрез гарантиране на честни, прозрачни и недискриминационни условия за ползване на енергийни услуги. </w:t>
      </w:r>
    </w:p>
    <w:p w14:paraId="67A1F850" w14:textId="77777777" w:rsidR="006A1393" w:rsidRPr="006A1393" w:rsidRDefault="006A1393" w:rsidP="006A1393">
      <w:pPr>
        <w:autoSpaceDE w:val="0"/>
        <w:autoSpaceDN w:val="0"/>
        <w:adjustRightInd w:val="0"/>
        <w:spacing w:after="0" w:line="276" w:lineRule="auto"/>
        <w:ind w:left="720"/>
        <w:jc w:val="both"/>
        <w:rPr>
          <w:rFonts w:ascii="Times New Roman" w:hAnsi="Times New Roman" w:cs="Times New Roman"/>
          <w:b/>
          <w:color w:val="000000"/>
          <w:sz w:val="24"/>
          <w:szCs w:val="24"/>
        </w:rPr>
      </w:pPr>
      <w:r w:rsidRPr="006A1393">
        <w:rPr>
          <w:rFonts w:ascii="Times New Roman" w:hAnsi="Times New Roman" w:cs="Times New Roman"/>
          <w:b/>
          <w:color w:val="000000"/>
          <w:sz w:val="24"/>
          <w:szCs w:val="24"/>
        </w:rPr>
        <w:t>Климат:</w:t>
      </w:r>
    </w:p>
    <w:p w14:paraId="4BBFF425" w14:textId="77777777" w:rsidR="00740223" w:rsidRPr="006A1393" w:rsidRDefault="00740223" w:rsidP="004F15F5">
      <w:pPr>
        <w:pStyle w:val="ListParagraph"/>
        <w:numPr>
          <w:ilvl w:val="0"/>
          <w:numId w:val="23"/>
        </w:numPr>
        <w:autoSpaceDE w:val="0"/>
        <w:autoSpaceDN w:val="0"/>
        <w:adjustRightInd w:val="0"/>
        <w:spacing w:after="213" w:line="276" w:lineRule="auto"/>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постигане на климатична неутралност до 2050 г. </w:t>
      </w:r>
    </w:p>
    <w:p w14:paraId="1E061C8A" w14:textId="77777777" w:rsidR="00740223" w:rsidRPr="006A1393" w:rsidRDefault="00740223" w:rsidP="004F15F5">
      <w:pPr>
        <w:pStyle w:val="ListParagraph"/>
        <w:numPr>
          <w:ilvl w:val="0"/>
          <w:numId w:val="23"/>
        </w:numPr>
        <w:autoSpaceDE w:val="0"/>
        <w:autoSpaceDN w:val="0"/>
        <w:adjustRightInd w:val="0"/>
        <w:spacing w:after="213" w:line="276" w:lineRule="auto"/>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Съгласно Регламент (ЕС) 2023/857 (Регламент за споделяне на усилията) България трябва да ограничи своите емисии на парникови газове, за секторите извън търговията с емисии, с -10% в сравнение с емисиите си през 2005 г. </w:t>
      </w:r>
    </w:p>
    <w:p w14:paraId="6B819F97" w14:textId="77777777" w:rsidR="00740223" w:rsidRPr="006A1393" w:rsidRDefault="00740223" w:rsidP="004F15F5">
      <w:pPr>
        <w:pStyle w:val="ListParagraph"/>
        <w:numPr>
          <w:ilvl w:val="0"/>
          <w:numId w:val="23"/>
        </w:numPr>
        <w:autoSpaceDE w:val="0"/>
        <w:autoSpaceDN w:val="0"/>
        <w:adjustRightInd w:val="0"/>
        <w:spacing w:after="213" w:line="276" w:lineRule="auto"/>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България трябва да гарантира, че сумата на емисиите и поглъщанията на парникови газове в сектора LULUCF постигната през 2030 г. не надвишава поглъщанията, след прилагане на гъвкавостта предвидена в регламента, целта от – 9 718 ктона CO2екв. </w:t>
      </w:r>
    </w:p>
    <w:p w14:paraId="66D44C4E" w14:textId="77777777" w:rsidR="00740223" w:rsidRPr="006A1393" w:rsidRDefault="00740223" w:rsidP="006A1393">
      <w:pPr>
        <w:autoSpaceDE w:val="0"/>
        <w:autoSpaceDN w:val="0"/>
        <w:adjustRightInd w:val="0"/>
        <w:spacing w:after="0" w:line="276" w:lineRule="auto"/>
        <w:ind w:firstLine="709"/>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Актуализираният Интегриран план е разработен въз основа на следните основни допускания и стратегически цели: </w:t>
      </w:r>
    </w:p>
    <w:p w14:paraId="79802E44" w14:textId="77777777" w:rsidR="00740223" w:rsidRPr="006A1393" w:rsidRDefault="00740223" w:rsidP="004F15F5">
      <w:pPr>
        <w:pStyle w:val="ListParagraph"/>
        <w:numPr>
          <w:ilvl w:val="0"/>
          <w:numId w:val="24"/>
        </w:numPr>
        <w:autoSpaceDE w:val="0"/>
        <w:autoSpaceDN w:val="0"/>
        <w:adjustRightInd w:val="0"/>
        <w:spacing w:after="213" w:line="276" w:lineRule="auto"/>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Макроикономически растеж и секторна добавена стойност, проектиращи съответния растеж на търсенето и предлагането на енергия. </w:t>
      </w:r>
    </w:p>
    <w:p w14:paraId="457BD00D" w14:textId="77777777" w:rsidR="00740223" w:rsidRPr="006A1393" w:rsidRDefault="00740223" w:rsidP="004F15F5">
      <w:pPr>
        <w:pStyle w:val="ListParagraph"/>
        <w:numPr>
          <w:ilvl w:val="0"/>
          <w:numId w:val="24"/>
        </w:numPr>
        <w:autoSpaceDE w:val="0"/>
        <w:autoSpaceDN w:val="0"/>
        <w:adjustRightInd w:val="0"/>
        <w:spacing w:after="213" w:line="276" w:lineRule="auto"/>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Съвкупност от мерки за енергийна ефективност за постигане на намаляваща крива на енергоемкост на икономиката. </w:t>
      </w:r>
    </w:p>
    <w:p w14:paraId="39E96B8C" w14:textId="77777777" w:rsidR="00740223" w:rsidRPr="006A1393" w:rsidRDefault="00740223" w:rsidP="004F15F5">
      <w:pPr>
        <w:pStyle w:val="ListParagraph"/>
        <w:numPr>
          <w:ilvl w:val="0"/>
          <w:numId w:val="24"/>
        </w:numPr>
        <w:autoSpaceDE w:val="0"/>
        <w:autoSpaceDN w:val="0"/>
        <w:adjustRightInd w:val="0"/>
        <w:spacing w:after="213" w:line="276" w:lineRule="auto"/>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Интегриран подход за моделиране на използваната енергията, развитие на икономиката и околната среда, основани на исторически данни и прогнози, насочени към отразяване на възможно най-реалистично развитие на икономиката и обществото на страната. </w:t>
      </w:r>
    </w:p>
    <w:p w14:paraId="4ACFB81E" w14:textId="77777777" w:rsidR="00740223" w:rsidRPr="006A1393" w:rsidRDefault="00740223" w:rsidP="004F15F5">
      <w:pPr>
        <w:pStyle w:val="ListParagraph"/>
        <w:numPr>
          <w:ilvl w:val="0"/>
          <w:numId w:val="24"/>
        </w:numPr>
        <w:autoSpaceDE w:val="0"/>
        <w:autoSpaceDN w:val="0"/>
        <w:adjustRightInd w:val="0"/>
        <w:spacing w:after="213" w:line="276" w:lineRule="auto"/>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Включване на приложимите политики и ограничения на ЕС в областта на околната среда в моделирането и планирането на производството на енергия. </w:t>
      </w:r>
    </w:p>
    <w:p w14:paraId="1DD74412" w14:textId="77777777" w:rsidR="00740223" w:rsidRPr="006A1393" w:rsidRDefault="00740223" w:rsidP="004F15F5">
      <w:pPr>
        <w:pStyle w:val="ListParagraph"/>
        <w:numPr>
          <w:ilvl w:val="0"/>
          <w:numId w:val="24"/>
        </w:numPr>
        <w:autoSpaceDE w:val="0"/>
        <w:autoSpaceDN w:val="0"/>
        <w:adjustRightInd w:val="0"/>
        <w:spacing w:after="213" w:line="276" w:lineRule="auto"/>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Развитие на енергийния, и по-специално на електроенергийния сектор, с акцент върху националната и регионалната енергийна сигурност. </w:t>
      </w:r>
    </w:p>
    <w:p w14:paraId="665B32F7" w14:textId="77777777" w:rsidR="00740223" w:rsidRPr="006A1393" w:rsidRDefault="00740223" w:rsidP="004F15F5">
      <w:pPr>
        <w:pStyle w:val="ListParagraph"/>
        <w:numPr>
          <w:ilvl w:val="0"/>
          <w:numId w:val="24"/>
        </w:numPr>
        <w:autoSpaceDE w:val="0"/>
        <w:autoSpaceDN w:val="0"/>
        <w:adjustRightInd w:val="0"/>
        <w:spacing w:after="213" w:line="276" w:lineRule="auto"/>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Интеграция на вътрешния пазар, развитие на междусистемната свързаност с електроенергийните системи на съседните на България страни и балансиране на енергийния микс, чрез осигуряване на различни национални и вносни енергийни източници. </w:t>
      </w:r>
    </w:p>
    <w:p w14:paraId="53BF120F" w14:textId="77777777" w:rsidR="00740223" w:rsidRPr="006A1393" w:rsidRDefault="00740223" w:rsidP="004F15F5">
      <w:pPr>
        <w:pStyle w:val="ListParagraph"/>
        <w:numPr>
          <w:ilvl w:val="0"/>
          <w:numId w:val="24"/>
        </w:numPr>
        <w:autoSpaceDE w:val="0"/>
        <w:autoSpaceDN w:val="0"/>
        <w:adjustRightInd w:val="0"/>
        <w:spacing w:after="0" w:line="276" w:lineRule="auto"/>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Поддържане на устойчиво ниво на външна зависимост от вноса на енергийни ресурси под средното за ЕС. </w:t>
      </w:r>
    </w:p>
    <w:p w14:paraId="6424AB9A" w14:textId="77777777" w:rsidR="00E37E20" w:rsidRPr="006A1393" w:rsidRDefault="00E37E20" w:rsidP="004F15F5">
      <w:pPr>
        <w:pStyle w:val="ListParagraph"/>
        <w:numPr>
          <w:ilvl w:val="0"/>
          <w:numId w:val="24"/>
        </w:numPr>
        <w:autoSpaceDE w:val="0"/>
        <w:autoSpaceDN w:val="0"/>
        <w:adjustRightInd w:val="0"/>
        <w:spacing w:after="213" w:line="276" w:lineRule="auto"/>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lastRenderedPageBreak/>
        <w:t xml:space="preserve">Продължаване на либерализацията на енергийните пазари, при ангажираност за управление на възможните социални рискове и отрицателни въздействия върху уязвимите социални групи. </w:t>
      </w:r>
    </w:p>
    <w:p w14:paraId="6DD83132" w14:textId="77777777" w:rsidR="00E37E20" w:rsidRPr="006A1393" w:rsidRDefault="00E37E20" w:rsidP="004F15F5">
      <w:pPr>
        <w:pStyle w:val="ListParagraph"/>
        <w:numPr>
          <w:ilvl w:val="0"/>
          <w:numId w:val="24"/>
        </w:numPr>
        <w:autoSpaceDE w:val="0"/>
        <w:autoSpaceDN w:val="0"/>
        <w:adjustRightInd w:val="0"/>
        <w:spacing w:after="213" w:line="276" w:lineRule="auto"/>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Устойчиво развитие на производството на електрическа енергия от възобновяеми източници на пазарни основи. </w:t>
      </w:r>
    </w:p>
    <w:p w14:paraId="19E44DD7" w14:textId="77777777" w:rsidR="00E37E20" w:rsidRPr="006A1393" w:rsidRDefault="00E37E20" w:rsidP="004F15F5">
      <w:pPr>
        <w:pStyle w:val="ListParagraph"/>
        <w:numPr>
          <w:ilvl w:val="0"/>
          <w:numId w:val="24"/>
        </w:numPr>
        <w:autoSpaceDE w:val="0"/>
        <w:autoSpaceDN w:val="0"/>
        <w:adjustRightInd w:val="0"/>
        <w:spacing w:after="213" w:line="276" w:lineRule="auto"/>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Определяне на цели за енергийна ефективност, отговарящи на дневния ред и препоръките на ЕК. </w:t>
      </w:r>
    </w:p>
    <w:p w14:paraId="668B028D" w14:textId="77777777" w:rsidR="00E37E20" w:rsidRPr="006A1393" w:rsidRDefault="00E37E20" w:rsidP="004F15F5">
      <w:pPr>
        <w:pStyle w:val="ListParagraph"/>
        <w:numPr>
          <w:ilvl w:val="0"/>
          <w:numId w:val="24"/>
        </w:numPr>
        <w:autoSpaceDE w:val="0"/>
        <w:autoSpaceDN w:val="0"/>
        <w:adjustRightInd w:val="0"/>
        <w:spacing w:after="0" w:line="276" w:lineRule="auto"/>
        <w:jc w:val="both"/>
        <w:rPr>
          <w:rFonts w:ascii="Times New Roman" w:hAnsi="Times New Roman" w:cs="Times New Roman"/>
          <w:color w:val="000000"/>
          <w:sz w:val="24"/>
          <w:szCs w:val="24"/>
        </w:rPr>
      </w:pPr>
      <w:r w:rsidRPr="006A1393">
        <w:rPr>
          <w:rFonts w:ascii="Times New Roman" w:hAnsi="Times New Roman" w:cs="Times New Roman"/>
          <w:color w:val="000000"/>
          <w:sz w:val="24"/>
          <w:szCs w:val="24"/>
        </w:rPr>
        <w:t xml:space="preserve">Включване на производство на енергия от нова ядрена мощност в националния енергиен микс след 2030 г. </w:t>
      </w:r>
    </w:p>
    <w:p w14:paraId="7DEDC611" w14:textId="77777777" w:rsidR="006A1393" w:rsidRDefault="006A1393" w:rsidP="006A1393">
      <w:pPr>
        <w:spacing w:after="0" w:line="276" w:lineRule="auto"/>
        <w:ind w:firstLine="709"/>
        <w:rPr>
          <w:rFonts w:ascii="Times New Roman" w:hAnsi="Times New Roman" w:cs="Times New Roman"/>
          <w:b/>
          <w:sz w:val="24"/>
          <w:szCs w:val="24"/>
        </w:rPr>
      </w:pPr>
    </w:p>
    <w:p w14:paraId="25D47B21" w14:textId="77777777" w:rsidR="00E37E20" w:rsidRPr="006A1393" w:rsidRDefault="00E37E20" w:rsidP="006A1393">
      <w:pPr>
        <w:spacing w:after="0" w:line="276" w:lineRule="auto"/>
        <w:ind w:firstLine="709"/>
        <w:rPr>
          <w:rFonts w:ascii="Times New Roman" w:hAnsi="Times New Roman" w:cs="Times New Roman"/>
          <w:b/>
          <w:sz w:val="24"/>
          <w:szCs w:val="24"/>
        </w:rPr>
      </w:pPr>
      <w:r w:rsidRPr="006A1393">
        <w:rPr>
          <w:rFonts w:ascii="Times New Roman" w:hAnsi="Times New Roman" w:cs="Times New Roman"/>
          <w:b/>
          <w:sz w:val="24"/>
          <w:szCs w:val="24"/>
        </w:rPr>
        <w:t xml:space="preserve">Стратегия, свързана с петте измерения на Енергийния съюз </w:t>
      </w:r>
    </w:p>
    <w:p w14:paraId="63846BB1" w14:textId="77777777" w:rsidR="00E37E20" w:rsidRPr="00E37E20" w:rsidRDefault="00E37E20" w:rsidP="006A1393">
      <w:pPr>
        <w:autoSpaceDE w:val="0"/>
        <w:autoSpaceDN w:val="0"/>
        <w:adjustRightInd w:val="0"/>
        <w:spacing w:after="0" w:line="276" w:lineRule="auto"/>
        <w:ind w:firstLine="709"/>
        <w:jc w:val="both"/>
        <w:rPr>
          <w:rFonts w:ascii="Times New Roman" w:hAnsi="Times New Roman" w:cs="Times New Roman"/>
          <w:color w:val="000000"/>
          <w:sz w:val="24"/>
          <w:szCs w:val="24"/>
        </w:rPr>
      </w:pPr>
      <w:r w:rsidRPr="00E37E20">
        <w:rPr>
          <w:rFonts w:ascii="Times New Roman" w:hAnsi="Times New Roman" w:cs="Times New Roman"/>
          <w:color w:val="000000"/>
          <w:sz w:val="24"/>
          <w:szCs w:val="24"/>
        </w:rPr>
        <w:t xml:space="preserve">Стратегическите цели и приоритети в областта на енергетиката и климата на България обхващат </w:t>
      </w:r>
      <w:r w:rsidRPr="00CB36D4">
        <w:rPr>
          <w:rFonts w:ascii="Times New Roman" w:hAnsi="Times New Roman" w:cs="Times New Roman"/>
          <w:b/>
          <w:color w:val="000000"/>
          <w:sz w:val="24"/>
          <w:szCs w:val="24"/>
        </w:rPr>
        <w:t xml:space="preserve">петте измерения на Енергийния съюз – </w:t>
      </w:r>
      <w:r w:rsidRPr="008E28BC">
        <w:rPr>
          <w:rFonts w:ascii="Times New Roman" w:hAnsi="Times New Roman" w:cs="Times New Roman"/>
          <w:b/>
          <w:i/>
          <w:iCs/>
          <w:color w:val="000000"/>
          <w:sz w:val="24"/>
          <w:szCs w:val="24"/>
          <w:u w:val="single"/>
        </w:rPr>
        <w:t>декарбонизация, енергийна ефективност, енергийна сигурност, вътрешен енергиен пазар и научни изследвания, иновации и конкурентоспособност</w:t>
      </w:r>
      <w:r w:rsidRPr="008E28BC">
        <w:rPr>
          <w:rFonts w:ascii="Times New Roman" w:hAnsi="Times New Roman" w:cs="Times New Roman"/>
          <w:b/>
          <w:color w:val="000000"/>
          <w:sz w:val="24"/>
          <w:szCs w:val="24"/>
          <w:u w:val="single"/>
        </w:rPr>
        <w:t xml:space="preserve">. </w:t>
      </w:r>
    </w:p>
    <w:p w14:paraId="6A2442CF" w14:textId="77777777" w:rsidR="00740223" w:rsidRPr="006A1393" w:rsidRDefault="00E37E20" w:rsidP="006A1393">
      <w:pPr>
        <w:spacing w:after="0" w:line="276" w:lineRule="auto"/>
        <w:ind w:firstLine="709"/>
        <w:jc w:val="both"/>
        <w:rPr>
          <w:rFonts w:ascii="Times New Roman" w:hAnsi="Times New Roman" w:cs="Times New Roman"/>
          <w:color w:val="FF0000"/>
          <w:sz w:val="24"/>
          <w:szCs w:val="24"/>
        </w:rPr>
      </w:pPr>
      <w:r w:rsidRPr="006A1393">
        <w:rPr>
          <w:rFonts w:ascii="Times New Roman" w:hAnsi="Times New Roman" w:cs="Times New Roman"/>
          <w:color w:val="000000"/>
          <w:sz w:val="24"/>
          <w:szCs w:val="24"/>
        </w:rPr>
        <w:t>За изпълнение на целите се извършват комплексни и координирани действия във всички икономически области, като усилията са насочени към развитие и насърчаване използването на нискоемисионни източници на енергия, както и внедряване на нови и иновативни технологии за производство на енергия.</w:t>
      </w:r>
    </w:p>
    <w:p w14:paraId="0C23F36B" w14:textId="77777777" w:rsidR="00740223" w:rsidRPr="007E015D" w:rsidRDefault="00740223" w:rsidP="006A1393">
      <w:pPr>
        <w:spacing w:after="0" w:line="276" w:lineRule="auto"/>
        <w:ind w:firstLine="709"/>
        <w:jc w:val="both"/>
        <w:rPr>
          <w:rFonts w:ascii="Times New Roman" w:hAnsi="Times New Roman" w:cs="Times New Roman"/>
          <w:sz w:val="24"/>
          <w:szCs w:val="24"/>
        </w:rPr>
      </w:pPr>
    </w:p>
    <w:p w14:paraId="5A3DF8C8" w14:textId="00FA5DB1" w:rsidR="00CB0782" w:rsidRPr="007E015D" w:rsidRDefault="00CB0782" w:rsidP="007E015D">
      <w:pPr>
        <w:shd w:val="clear" w:color="auto" w:fill="E2EFD9" w:themeFill="accent6" w:themeFillTint="33"/>
        <w:spacing w:after="0" w:line="276" w:lineRule="auto"/>
        <w:ind w:firstLine="709"/>
        <w:jc w:val="both"/>
        <w:rPr>
          <w:rFonts w:ascii="Times New Roman" w:hAnsi="Times New Roman" w:cs="Times New Roman"/>
          <w:b/>
          <w:sz w:val="24"/>
          <w:szCs w:val="24"/>
        </w:rPr>
      </w:pPr>
      <w:r w:rsidRPr="007E015D">
        <w:rPr>
          <w:rFonts w:ascii="Times New Roman" w:hAnsi="Times New Roman" w:cs="Times New Roman"/>
          <w:b/>
          <w:sz w:val="24"/>
          <w:szCs w:val="24"/>
        </w:rPr>
        <w:t xml:space="preserve">1.2.1. НАЦИОНАЛНИ ОБЩИ И КОНКРЕТНИ ЦЕЛИ </w:t>
      </w:r>
      <w:r w:rsidR="00F96654">
        <w:rPr>
          <w:rFonts w:ascii="Times New Roman" w:hAnsi="Times New Roman" w:cs="Times New Roman"/>
          <w:b/>
          <w:sz w:val="24"/>
          <w:szCs w:val="24"/>
        </w:rPr>
        <w:t xml:space="preserve">на </w:t>
      </w:r>
      <w:r w:rsidR="005B5EB3">
        <w:rPr>
          <w:rFonts w:ascii="Times New Roman" w:hAnsi="Times New Roman" w:cs="Times New Roman"/>
          <w:b/>
          <w:sz w:val="24"/>
          <w:szCs w:val="24"/>
        </w:rPr>
        <w:t>ИПЕК</w:t>
      </w:r>
    </w:p>
    <w:p w14:paraId="167DF13E" w14:textId="77777777" w:rsidR="00870284" w:rsidRDefault="00870284" w:rsidP="007E015D">
      <w:pPr>
        <w:autoSpaceDE w:val="0"/>
        <w:autoSpaceDN w:val="0"/>
        <w:adjustRightInd w:val="0"/>
        <w:spacing w:after="0" w:line="276" w:lineRule="auto"/>
        <w:ind w:firstLine="709"/>
        <w:jc w:val="both"/>
        <w:rPr>
          <w:rFonts w:ascii="Times New Roman" w:hAnsi="Times New Roman" w:cs="Times New Roman"/>
          <w:b/>
          <w:bCs/>
          <w:sz w:val="24"/>
          <w:szCs w:val="24"/>
        </w:rPr>
      </w:pPr>
    </w:p>
    <w:p w14:paraId="789C902B" w14:textId="77777777" w:rsidR="00CB0782" w:rsidRPr="007E015D" w:rsidRDefault="00870284" w:rsidP="00870284">
      <w:pPr>
        <w:shd w:val="clear" w:color="auto" w:fill="F7CAAC" w:themeFill="accent2" w:themeFillTint="66"/>
        <w:autoSpaceDE w:val="0"/>
        <w:autoSpaceDN w:val="0"/>
        <w:adjustRightInd w:val="0"/>
        <w:spacing w:after="0" w:line="276" w:lineRule="auto"/>
        <w:ind w:firstLine="709"/>
        <w:jc w:val="both"/>
        <w:rPr>
          <w:rFonts w:ascii="Times New Roman" w:hAnsi="Times New Roman" w:cs="Times New Roman"/>
          <w:sz w:val="24"/>
          <w:szCs w:val="24"/>
        </w:rPr>
      </w:pPr>
      <w:r>
        <w:rPr>
          <w:rFonts w:ascii="Times New Roman" w:hAnsi="Times New Roman" w:cs="Times New Roman"/>
          <w:b/>
          <w:bCs/>
          <w:sz w:val="24"/>
          <w:szCs w:val="24"/>
        </w:rPr>
        <w:t xml:space="preserve">1.2.1.1. </w:t>
      </w:r>
      <w:r w:rsidR="00CB0782" w:rsidRPr="007E015D">
        <w:rPr>
          <w:rFonts w:ascii="Times New Roman" w:hAnsi="Times New Roman" w:cs="Times New Roman"/>
          <w:b/>
          <w:bCs/>
          <w:sz w:val="24"/>
          <w:szCs w:val="24"/>
        </w:rPr>
        <w:t xml:space="preserve">Измерение „Декарбонизация“ </w:t>
      </w:r>
    </w:p>
    <w:p w14:paraId="2953A7C0" w14:textId="77777777" w:rsidR="00CB0782" w:rsidRPr="007E015D" w:rsidRDefault="00CB0782" w:rsidP="007E015D">
      <w:pPr>
        <w:autoSpaceDE w:val="0"/>
        <w:autoSpaceDN w:val="0"/>
        <w:adjustRightInd w:val="0"/>
        <w:spacing w:after="0" w:line="276" w:lineRule="auto"/>
        <w:ind w:firstLine="709"/>
        <w:jc w:val="both"/>
        <w:rPr>
          <w:rFonts w:ascii="Times New Roman" w:hAnsi="Times New Roman" w:cs="Times New Roman"/>
          <w:b/>
          <w:sz w:val="24"/>
          <w:szCs w:val="24"/>
          <w:u w:val="single"/>
        </w:rPr>
      </w:pPr>
      <w:r w:rsidRPr="007E015D">
        <w:rPr>
          <w:rFonts w:ascii="Times New Roman" w:hAnsi="Times New Roman" w:cs="Times New Roman"/>
          <w:b/>
          <w:sz w:val="24"/>
          <w:szCs w:val="24"/>
          <w:u w:val="single"/>
        </w:rPr>
        <w:t xml:space="preserve">Емисии и поглъщане на парникови газове </w:t>
      </w:r>
    </w:p>
    <w:p w14:paraId="09573A68" w14:textId="77777777" w:rsidR="007E015D" w:rsidRPr="007E015D" w:rsidRDefault="007E015D" w:rsidP="007E015D">
      <w:pPr>
        <w:autoSpaceDE w:val="0"/>
        <w:autoSpaceDN w:val="0"/>
        <w:adjustRightInd w:val="0"/>
        <w:spacing w:after="0" w:line="276" w:lineRule="auto"/>
        <w:ind w:firstLine="709"/>
        <w:jc w:val="both"/>
        <w:rPr>
          <w:rFonts w:ascii="Times New Roman" w:hAnsi="Times New Roman" w:cs="Times New Roman"/>
          <w:i/>
          <w:sz w:val="24"/>
          <w:szCs w:val="24"/>
        </w:rPr>
      </w:pPr>
      <w:r w:rsidRPr="007E015D">
        <w:rPr>
          <w:rFonts w:ascii="Times New Roman" w:hAnsi="Times New Roman" w:cs="Times New Roman"/>
          <w:i/>
          <w:sz w:val="24"/>
          <w:szCs w:val="24"/>
        </w:rPr>
        <w:t>i. Елементите, посочени в член 4, буква а), точка 1</w:t>
      </w:r>
    </w:p>
    <w:p w14:paraId="72687075" w14:textId="77777777" w:rsidR="00CB0782" w:rsidRPr="007E015D" w:rsidRDefault="00CB0782"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На 12 декември 2019 г. Европейският съвет прие цел за постигане на климатична неутралност на Съюза до 2050 г. На 10 декември 2020 г. се прие повишение на колективната климатична цел на ЕС до 2030 г. от 40% на „най-малко 55%“. </w:t>
      </w:r>
    </w:p>
    <w:p w14:paraId="2BAF400D" w14:textId="4BC9B861" w:rsidR="00CB0782" w:rsidRPr="007E015D" w:rsidRDefault="00CB0782"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Двете климатични цели, както и необходимостта от принос на всички сектори са закрепени в законодателството на Съюза с приемането на 5 май 2021 г. на т. нар</w:t>
      </w:r>
      <w:r w:rsidR="00D04611">
        <w:rPr>
          <w:rFonts w:ascii="Times New Roman" w:hAnsi="Times New Roman" w:cs="Times New Roman"/>
          <w:color w:val="000000"/>
          <w:sz w:val="24"/>
          <w:szCs w:val="24"/>
        </w:rPr>
        <w:t>+</w:t>
      </w:r>
      <w:r w:rsidRPr="007E015D">
        <w:rPr>
          <w:rFonts w:ascii="Times New Roman" w:hAnsi="Times New Roman" w:cs="Times New Roman"/>
          <w:color w:val="000000"/>
          <w:sz w:val="24"/>
          <w:szCs w:val="24"/>
        </w:rPr>
        <w:t xml:space="preserve"> - рамков акт гарантиращ участието на всички сектори в постигането на целите. Регламент</w:t>
      </w:r>
      <w:r w:rsidR="002D7166">
        <w:rPr>
          <w:rFonts w:ascii="Times New Roman" w:hAnsi="Times New Roman" w:cs="Times New Roman"/>
          <w:color w:val="000000"/>
          <w:sz w:val="24"/>
          <w:szCs w:val="24"/>
        </w:rPr>
        <w:t>ът</w:t>
      </w:r>
      <w:r w:rsidRPr="007E015D">
        <w:rPr>
          <w:rFonts w:ascii="Times New Roman" w:hAnsi="Times New Roman" w:cs="Times New Roman"/>
          <w:color w:val="000000"/>
          <w:sz w:val="24"/>
          <w:szCs w:val="24"/>
        </w:rPr>
        <w:t xml:space="preserve"> поставя цел за намал</w:t>
      </w:r>
      <w:r w:rsidR="00A376AB">
        <w:rPr>
          <w:rFonts w:ascii="Times New Roman" w:hAnsi="Times New Roman" w:cs="Times New Roman"/>
          <w:color w:val="000000"/>
          <w:sz w:val="24"/>
          <w:szCs w:val="24"/>
        </w:rPr>
        <w:t>яване</w:t>
      </w:r>
      <w:r w:rsidRPr="007E015D">
        <w:rPr>
          <w:rFonts w:ascii="Times New Roman" w:hAnsi="Times New Roman" w:cs="Times New Roman"/>
          <w:color w:val="000000"/>
          <w:sz w:val="24"/>
          <w:szCs w:val="24"/>
        </w:rPr>
        <w:t xml:space="preserve"> на емисиите на ЕС от „поне 55%“ до 2030 г., ограничаване ролята на </w:t>
      </w:r>
      <w:r w:rsidRPr="004449B4">
        <w:rPr>
          <w:rFonts w:ascii="Times New Roman" w:hAnsi="Times New Roman" w:cs="Times New Roman"/>
          <w:color w:val="000000"/>
          <w:sz w:val="24"/>
          <w:szCs w:val="24"/>
        </w:rPr>
        <w:t>погълтителите</w:t>
      </w:r>
      <w:r w:rsidRPr="007E015D">
        <w:rPr>
          <w:rFonts w:ascii="Times New Roman" w:hAnsi="Times New Roman" w:cs="Times New Roman"/>
          <w:color w:val="000000"/>
          <w:sz w:val="24"/>
          <w:szCs w:val="24"/>
        </w:rPr>
        <w:t xml:space="preserve"> за постигането </w:t>
      </w:r>
      <w:r w:rsidR="00980FF9">
        <w:rPr>
          <w:rFonts w:ascii="Times New Roman" w:hAnsi="Times New Roman" w:cs="Times New Roman"/>
          <w:color w:val="000000"/>
          <w:sz w:val="24"/>
          <w:szCs w:val="24"/>
        </w:rPr>
        <w:t>ú</w:t>
      </w:r>
      <w:r w:rsidRPr="007E015D">
        <w:rPr>
          <w:rFonts w:ascii="Times New Roman" w:hAnsi="Times New Roman" w:cs="Times New Roman"/>
          <w:color w:val="000000"/>
          <w:sz w:val="24"/>
          <w:szCs w:val="24"/>
        </w:rPr>
        <w:t xml:space="preserve">, климатична неутралност на Съюза до 2050 г. и на негативни емисии след това, залагане на индикативни въглеродни бюджети и допълнителен европейски научен орган. </w:t>
      </w:r>
    </w:p>
    <w:p w14:paraId="7D38FCD3" w14:textId="77777777" w:rsidR="00CB0782" w:rsidRPr="007E015D" w:rsidRDefault="00CB0782"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На 14 юли 2021 г. ЕК представи 15 законодателни акта от т.нар. пакет „Подготвени за цел 55“ („Fit for 55”), които представят предложенията на Комисията за постигането на повишената климатичната цел от „най-малко 55%“, залагайки пътя към климатична неутралност до 2050 г. и отчитайки нуждата от принос от всички сектори. </w:t>
      </w:r>
    </w:p>
    <w:p w14:paraId="0E481D25" w14:textId="77777777" w:rsidR="00CB0782" w:rsidRPr="007E015D" w:rsidRDefault="00CB0782"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lastRenderedPageBreak/>
        <w:t xml:space="preserve">За противодействие на климатичните промени и въздействието им върху икономиката, България изготви Национална стратегия за адаптация към изменението на климата и План за действие към нея, приета с решение на Министерския съвет през 2019 г. </w:t>
      </w:r>
    </w:p>
    <w:p w14:paraId="7F92DCE5" w14:textId="77777777" w:rsidR="00CB0782" w:rsidRPr="007E015D" w:rsidRDefault="00CB0782"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Националната стратегия за адаптация към изменението на климата обхваща девет сектора, които са: сектор „Селско стопанство“, сектор „Гори“, сектор „Биологично разнообразие и екосистеми“, сектор „Води“, сектор „Енергетика“, сектор „Транспорт“, сектор „Градска среда“, сектор „Човешко здраве“ и сектор „Туризъм“. Към нея е включен и анализ на макроикономическите последици от изменението на климата и оценка на сектор „Управление на риска от бедствия“. </w:t>
      </w:r>
    </w:p>
    <w:p w14:paraId="40312FD5" w14:textId="77777777" w:rsidR="006A1393" w:rsidRPr="007E015D" w:rsidRDefault="00CB0782" w:rsidP="007E015D">
      <w:pPr>
        <w:spacing w:after="0" w:line="276" w:lineRule="auto"/>
        <w:ind w:firstLine="709"/>
        <w:jc w:val="both"/>
        <w:rPr>
          <w:rFonts w:ascii="Times New Roman" w:hAnsi="Times New Roman" w:cs="Times New Roman"/>
          <w:color w:val="FF0000"/>
          <w:sz w:val="24"/>
          <w:szCs w:val="24"/>
        </w:rPr>
      </w:pPr>
      <w:r w:rsidRPr="007E015D">
        <w:rPr>
          <w:rFonts w:ascii="Times New Roman" w:hAnsi="Times New Roman" w:cs="Times New Roman"/>
          <w:color w:val="000000"/>
          <w:sz w:val="24"/>
          <w:szCs w:val="24"/>
        </w:rPr>
        <w:t>Обхватът на вариантите за адаптиране за секторите, отразява обхвата и сложността на въздействията на изменението на климата. Мерките са насочени основно към: укрепване на политиката и правната рамка за включване на адаптацията към изменението на климата; изграждане на адаптивен капацитет и разработване на финансови, социални и политически насоки за управление на риска; подобряване управлението на знанията, научните изследвания, образованието и комуникацията със заинтересованите страни.</w:t>
      </w:r>
    </w:p>
    <w:p w14:paraId="3A04D4EC" w14:textId="41E20663" w:rsidR="00CB0782" w:rsidRPr="007E015D" w:rsidRDefault="00CB0782"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Основната категория, която допринася за премахването на парникови газове, е горския</w:t>
      </w:r>
      <w:r w:rsidR="00D40142">
        <w:rPr>
          <w:rFonts w:ascii="Times New Roman" w:hAnsi="Times New Roman" w:cs="Times New Roman"/>
          <w:color w:val="000000"/>
          <w:sz w:val="24"/>
          <w:szCs w:val="24"/>
        </w:rPr>
        <w:t>т</w:t>
      </w:r>
      <w:r w:rsidRPr="007E015D">
        <w:rPr>
          <w:rFonts w:ascii="Times New Roman" w:hAnsi="Times New Roman" w:cs="Times New Roman"/>
          <w:color w:val="000000"/>
          <w:sz w:val="24"/>
          <w:szCs w:val="24"/>
        </w:rPr>
        <w:t xml:space="preserve"> сектор. Всички останали категории (обработваема земя, населени места, водни площи) са източници на емисии на CO</w:t>
      </w:r>
      <w:r w:rsidRPr="007E015D">
        <w:rPr>
          <w:rFonts w:ascii="Times New Roman" w:hAnsi="Times New Roman" w:cs="Times New Roman"/>
          <w:color w:val="000000"/>
          <w:sz w:val="24"/>
          <w:szCs w:val="24"/>
          <w:vertAlign w:val="subscript"/>
        </w:rPr>
        <w:t>2</w:t>
      </w:r>
      <w:r w:rsidRPr="007E015D">
        <w:rPr>
          <w:rFonts w:ascii="Times New Roman" w:hAnsi="Times New Roman" w:cs="Times New Roman"/>
          <w:color w:val="000000"/>
          <w:sz w:val="24"/>
          <w:szCs w:val="24"/>
        </w:rPr>
        <w:t xml:space="preserve">. Основната причина за общите постоянни резултати за поглътителите се дължи на намаляването от поглъщането от горския сектор и лекото увеличение на емисиите от обработваемите земи, населени места и водни площи. </w:t>
      </w:r>
    </w:p>
    <w:p w14:paraId="666933B4" w14:textId="77777777" w:rsidR="00CB0782" w:rsidRPr="007E015D" w:rsidRDefault="00CB0782"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Основната причина за спада в усвояване на емисии от парникови газове от горските територии е наблюдаваният спад в темпа на ръст на горите, като се има предвид средната им възраст. </w:t>
      </w:r>
    </w:p>
    <w:p w14:paraId="6CF175A7" w14:textId="77777777" w:rsidR="00CB0782" w:rsidRDefault="00CB0782" w:rsidP="007E015D">
      <w:pPr>
        <w:pStyle w:val="Default"/>
        <w:spacing w:line="276" w:lineRule="auto"/>
        <w:ind w:firstLine="709"/>
        <w:jc w:val="both"/>
        <w:rPr>
          <w:lang w:val="bg-BG"/>
        </w:rPr>
      </w:pPr>
      <w:r w:rsidRPr="007E015D">
        <w:t xml:space="preserve">За осигуряването на необходимата биомаса се предполага, че България разчита не само на горската биомаса, съгласно Националния план за действие за енергията за горските биомаси 2018-2027 г., но и ще използва неоползотворения потенциал на биологично разградимата част от продуктите, отпадъците и остатъците от биологичен произход от селското стопанство, включително растителни и животински отпадъци, от горското стопанство и свързаните с него промишлености, включително рибарство и аквакултури, както и биоразградимата част от отпадъците, включително промишлените и битовите отпадъци от биологичен произход, отговарящи на критериите за устойчивост, посочени в член 29 от Директива (ЕС) 2018/2001 от 11 </w:t>
      </w:r>
      <w:r w:rsidRPr="007E015D">
        <w:rPr>
          <w:lang w:val="bg-BG"/>
        </w:rPr>
        <w:t xml:space="preserve">декември 2018 г. за насърчаване на използването на енергия от възобновяеми източници (Директива RED II). </w:t>
      </w:r>
    </w:p>
    <w:p w14:paraId="063B6BC7" w14:textId="77777777" w:rsidR="007E015D" w:rsidRPr="007E015D" w:rsidRDefault="007E015D" w:rsidP="007E015D">
      <w:pPr>
        <w:pStyle w:val="Default"/>
        <w:spacing w:line="276" w:lineRule="auto"/>
        <w:ind w:firstLine="709"/>
        <w:jc w:val="both"/>
        <w:rPr>
          <w:color w:val="auto"/>
          <w:lang w:val="bg-BG"/>
        </w:rPr>
      </w:pPr>
    </w:p>
    <w:p w14:paraId="30A2582F" w14:textId="77777777" w:rsidR="00CB0782" w:rsidRDefault="00CB0782" w:rsidP="007E015D">
      <w:pPr>
        <w:autoSpaceDE w:val="0"/>
        <w:autoSpaceDN w:val="0"/>
        <w:adjustRightInd w:val="0"/>
        <w:spacing w:after="0" w:line="276" w:lineRule="auto"/>
        <w:ind w:firstLine="709"/>
        <w:jc w:val="both"/>
        <w:rPr>
          <w:rFonts w:ascii="Times New Roman" w:hAnsi="Times New Roman" w:cs="Times New Roman"/>
          <w:i/>
          <w:iCs/>
          <w:sz w:val="24"/>
          <w:szCs w:val="24"/>
        </w:rPr>
      </w:pPr>
      <w:r w:rsidRPr="007E015D">
        <w:rPr>
          <w:rFonts w:ascii="Times New Roman" w:hAnsi="Times New Roman" w:cs="Times New Roman"/>
          <w:i/>
          <w:iCs/>
          <w:sz w:val="24"/>
          <w:szCs w:val="24"/>
        </w:rPr>
        <w:t xml:space="preserve">ii. Ако е приложимо, други национални общи и конкретни цели, които са в съответствие с Парижкото споразумение и съществуващите дългосрочни стратегии. Ако е приложимо с оглед принос към цялостния ангажимент на Съюза за намаляване на емисиите на парникови газове, други общи и конкретни цели, включително секторни цели и цели за адаптиране към изменението на климата, ако има такива </w:t>
      </w:r>
    </w:p>
    <w:p w14:paraId="5F1DC0F7" w14:textId="77777777" w:rsidR="007E015D" w:rsidRPr="007E015D" w:rsidRDefault="007E015D" w:rsidP="007E015D">
      <w:pPr>
        <w:autoSpaceDE w:val="0"/>
        <w:autoSpaceDN w:val="0"/>
        <w:adjustRightInd w:val="0"/>
        <w:spacing w:after="0" w:line="276" w:lineRule="auto"/>
        <w:ind w:firstLine="709"/>
        <w:jc w:val="both"/>
        <w:rPr>
          <w:rFonts w:ascii="Times New Roman" w:hAnsi="Times New Roman" w:cs="Times New Roman"/>
          <w:i/>
          <w:iCs/>
          <w:sz w:val="24"/>
          <w:szCs w:val="24"/>
        </w:rPr>
      </w:pPr>
    </w:p>
    <w:p w14:paraId="13809EEC" w14:textId="77777777" w:rsidR="00CB0782" w:rsidRPr="007E015D" w:rsidRDefault="00CB0782" w:rsidP="007E015D">
      <w:pPr>
        <w:autoSpaceDE w:val="0"/>
        <w:autoSpaceDN w:val="0"/>
        <w:adjustRightInd w:val="0"/>
        <w:spacing w:after="0" w:line="276" w:lineRule="auto"/>
        <w:ind w:firstLine="709"/>
        <w:jc w:val="both"/>
        <w:rPr>
          <w:rFonts w:ascii="Times New Roman" w:hAnsi="Times New Roman" w:cs="Times New Roman"/>
          <w:b/>
          <w:sz w:val="24"/>
          <w:szCs w:val="24"/>
        </w:rPr>
      </w:pPr>
      <w:r w:rsidRPr="007E015D">
        <w:rPr>
          <w:rFonts w:ascii="Times New Roman" w:hAnsi="Times New Roman" w:cs="Times New Roman"/>
          <w:b/>
          <w:i/>
          <w:iCs/>
          <w:sz w:val="24"/>
          <w:szCs w:val="24"/>
        </w:rPr>
        <w:lastRenderedPageBreak/>
        <w:t xml:space="preserve">Не е приложимо </w:t>
      </w:r>
    </w:p>
    <w:p w14:paraId="485D7962" w14:textId="77777777" w:rsidR="007E015D" w:rsidRDefault="007E015D" w:rsidP="007E015D">
      <w:pPr>
        <w:autoSpaceDE w:val="0"/>
        <w:autoSpaceDN w:val="0"/>
        <w:adjustRightInd w:val="0"/>
        <w:spacing w:after="0" w:line="276" w:lineRule="auto"/>
        <w:ind w:firstLine="709"/>
        <w:jc w:val="both"/>
        <w:rPr>
          <w:rFonts w:ascii="Times New Roman" w:hAnsi="Times New Roman" w:cs="Times New Roman"/>
          <w:color w:val="365F91"/>
          <w:sz w:val="24"/>
          <w:szCs w:val="24"/>
        </w:rPr>
      </w:pPr>
    </w:p>
    <w:p w14:paraId="4506808A" w14:textId="77777777" w:rsidR="00CB0782" w:rsidRPr="007E015D" w:rsidRDefault="00CB0782" w:rsidP="007E015D">
      <w:pPr>
        <w:autoSpaceDE w:val="0"/>
        <w:autoSpaceDN w:val="0"/>
        <w:adjustRightInd w:val="0"/>
        <w:spacing w:after="0" w:line="276" w:lineRule="auto"/>
        <w:ind w:firstLine="709"/>
        <w:jc w:val="both"/>
        <w:rPr>
          <w:rFonts w:ascii="Times New Roman" w:hAnsi="Times New Roman" w:cs="Times New Roman"/>
          <w:b/>
          <w:sz w:val="24"/>
          <w:szCs w:val="24"/>
          <w:u w:val="single"/>
        </w:rPr>
      </w:pPr>
      <w:r w:rsidRPr="007E015D">
        <w:rPr>
          <w:rFonts w:ascii="Times New Roman" w:hAnsi="Times New Roman" w:cs="Times New Roman"/>
          <w:b/>
          <w:sz w:val="24"/>
          <w:szCs w:val="24"/>
          <w:u w:val="single"/>
        </w:rPr>
        <w:t xml:space="preserve">Енергия от възобновяеми източници </w:t>
      </w:r>
    </w:p>
    <w:p w14:paraId="257E031A" w14:textId="77777777" w:rsidR="00CB0782" w:rsidRPr="007E015D" w:rsidRDefault="00CB0782" w:rsidP="007E015D">
      <w:pPr>
        <w:autoSpaceDE w:val="0"/>
        <w:autoSpaceDN w:val="0"/>
        <w:adjustRightInd w:val="0"/>
        <w:spacing w:after="0" w:line="276" w:lineRule="auto"/>
        <w:ind w:firstLine="709"/>
        <w:jc w:val="both"/>
        <w:rPr>
          <w:rFonts w:ascii="Times New Roman" w:hAnsi="Times New Roman" w:cs="Times New Roman"/>
          <w:sz w:val="24"/>
          <w:szCs w:val="24"/>
        </w:rPr>
      </w:pPr>
      <w:r w:rsidRPr="007E015D">
        <w:rPr>
          <w:rFonts w:ascii="Times New Roman" w:hAnsi="Times New Roman" w:cs="Times New Roman"/>
          <w:i/>
          <w:iCs/>
          <w:sz w:val="24"/>
          <w:szCs w:val="24"/>
        </w:rPr>
        <w:t xml:space="preserve">i. Елементите, посочени в член 4, буква а), точка 2 </w:t>
      </w:r>
    </w:p>
    <w:p w14:paraId="6E49D588" w14:textId="77777777" w:rsidR="00CB0782" w:rsidRPr="007E015D" w:rsidRDefault="00CB0782"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България разполага с подходящи климатични условия за развитие на сектора на възобновяемата енергия, но са налице някои обективни ограничения, свързани с определени местности, в които не могат да бъдат изграждани съоръжения за производство на енергия от ВИ. </w:t>
      </w:r>
    </w:p>
    <w:p w14:paraId="2191C17D" w14:textId="77777777" w:rsidR="006A1393" w:rsidRPr="00C12E60" w:rsidRDefault="00CB0782" w:rsidP="007E015D">
      <w:pPr>
        <w:spacing w:after="0" w:line="276" w:lineRule="auto"/>
        <w:ind w:firstLine="709"/>
        <w:jc w:val="both"/>
        <w:rPr>
          <w:rFonts w:ascii="Times New Roman" w:hAnsi="Times New Roman" w:cs="Times New Roman"/>
          <w:sz w:val="24"/>
          <w:szCs w:val="24"/>
        </w:rPr>
      </w:pPr>
      <w:r w:rsidRPr="007E015D">
        <w:rPr>
          <w:rFonts w:ascii="Times New Roman" w:hAnsi="Times New Roman" w:cs="Times New Roman"/>
          <w:color w:val="000000"/>
          <w:sz w:val="24"/>
          <w:szCs w:val="24"/>
        </w:rPr>
        <w:t>Пример за това са териториите около защитените зони от Натура 2000 (съгласно Директива 92/43/ЕИО на Съвета от 21 май 1992 година за опазване на естествените местообитания и на дивата флора и фауна и Директива 2009/147/ЕО на Европейския парламент и на Съвета от 30 ноември 2009 година, относно опазването на дивите птици). В тези райони не е възможно да се изграждат инсталации за производство на енергия от вятърни електрически централи, съгласно НПДЕВИ 2011-2020.</w:t>
      </w:r>
    </w:p>
    <w:p w14:paraId="6FB88E48" w14:textId="77777777" w:rsidR="00CB0782" w:rsidRDefault="00CB0782"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465BED">
        <w:rPr>
          <w:rFonts w:ascii="Times New Roman" w:hAnsi="Times New Roman" w:cs="Times New Roman"/>
          <w:sz w:val="24"/>
          <w:szCs w:val="24"/>
        </w:rPr>
        <w:t>В изпълнение на своите ангажименти България е определила 2</w:t>
      </w:r>
      <w:r w:rsidR="00465BED" w:rsidRPr="00465BED">
        <w:rPr>
          <w:rFonts w:ascii="Times New Roman" w:hAnsi="Times New Roman" w:cs="Times New Roman"/>
          <w:sz w:val="24"/>
          <w:szCs w:val="24"/>
        </w:rPr>
        <w:t>33</w:t>
      </w:r>
      <w:r w:rsidRPr="00465BED">
        <w:rPr>
          <w:rFonts w:ascii="Times New Roman" w:hAnsi="Times New Roman" w:cs="Times New Roman"/>
          <w:sz w:val="24"/>
          <w:szCs w:val="24"/>
        </w:rPr>
        <w:t xml:space="preserve"> защитени зони за опазване на природните местообитания и на дивата флора и фауна и 120 защитени зони за опазване на дивите птици.</w:t>
      </w:r>
      <w:r w:rsidRPr="00465BED">
        <w:rPr>
          <w:rFonts w:ascii="Times New Roman" w:hAnsi="Times New Roman" w:cs="Times New Roman"/>
          <w:color w:val="000000"/>
          <w:sz w:val="24"/>
          <w:szCs w:val="24"/>
        </w:rPr>
        <w:t xml:space="preserve"> Защитените зони обхващат 41 053.2 км</w:t>
      </w:r>
      <w:r w:rsidRPr="00465BED">
        <w:rPr>
          <w:rFonts w:ascii="Times New Roman" w:hAnsi="Times New Roman" w:cs="Times New Roman"/>
          <w:color w:val="000000"/>
          <w:sz w:val="24"/>
          <w:szCs w:val="24"/>
          <w:vertAlign w:val="superscript"/>
        </w:rPr>
        <w:t>2</w:t>
      </w:r>
      <w:r w:rsidRPr="00465BED">
        <w:rPr>
          <w:rFonts w:ascii="Times New Roman" w:hAnsi="Times New Roman" w:cs="Times New Roman"/>
          <w:color w:val="000000"/>
          <w:sz w:val="24"/>
          <w:szCs w:val="24"/>
        </w:rPr>
        <w:t xml:space="preserve"> от територията на България, от които 38 231,84 км</w:t>
      </w:r>
      <w:r w:rsidRPr="00465BED">
        <w:rPr>
          <w:rFonts w:ascii="Times New Roman" w:hAnsi="Times New Roman" w:cs="Times New Roman"/>
          <w:color w:val="000000"/>
          <w:sz w:val="24"/>
          <w:szCs w:val="24"/>
          <w:vertAlign w:val="superscript"/>
        </w:rPr>
        <w:t>2</w:t>
      </w:r>
      <w:r w:rsidRPr="00465BED">
        <w:rPr>
          <w:rFonts w:ascii="Times New Roman" w:hAnsi="Times New Roman" w:cs="Times New Roman"/>
          <w:color w:val="000000"/>
          <w:sz w:val="24"/>
          <w:szCs w:val="24"/>
        </w:rPr>
        <w:t xml:space="preserve"> са разположени на сушата, а 2 821.35 км</w:t>
      </w:r>
      <w:r w:rsidRPr="00465BED">
        <w:rPr>
          <w:rFonts w:ascii="Times New Roman" w:hAnsi="Times New Roman" w:cs="Times New Roman"/>
          <w:color w:val="000000"/>
          <w:sz w:val="24"/>
          <w:szCs w:val="24"/>
          <w:vertAlign w:val="superscript"/>
        </w:rPr>
        <w:t>2</w:t>
      </w:r>
      <w:r w:rsidRPr="00465BED">
        <w:rPr>
          <w:rFonts w:ascii="Times New Roman" w:hAnsi="Times New Roman" w:cs="Times New Roman"/>
          <w:color w:val="000000"/>
          <w:sz w:val="24"/>
          <w:szCs w:val="24"/>
        </w:rPr>
        <w:t xml:space="preserve"> принадлежат към морската територия. Предмет на опазване в мрежата „Натура 2000“ в България са над 90 типа природни местообитания и 121 вида, различни от птици – в това число 28 приоритетни местообитания и 8 приоритетни вида, както и 120 птици и 70 прелетни птици. По този показател държавата се нарежда на едно от първите места в Европа.</w:t>
      </w:r>
      <w:r w:rsidRPr="007E015D">
        <w:rPr>
          <w:rFonts w:ascii="Times New Roman" w:hAnsi="Times New Roman" w:cs="Times New Roman"/>
          <w:color w:val="000000"/>
          <w:sz w:val="24"/>
          <w:szCs w:val="24"/>
        </w:rPr>
        <w:t xml:space="preserve"> </w:t>
      </w:r>
    </w:p>
    <w:p w14:paraId="16375100" w14:textId="493BFC8B" w:rsidR="00CB0782" w:rsidRPr="007E015D" w:rsidRDefault="00CB0782"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В периода на действие на </w:t>
      </w:r>
      <w:r w:rsidR="005B5EB3">
        <w:rPr>
          <w:rFonts w:ascii="Times New Roman" w:hAnsi="Times New Roman" w:cs="Times New Roman"/>
          <w:color w:val="000000"/>
          <w:sz w:val="24"/>
          <w:szCs w:val="24"/>
        </w:rPr>
        <w:t>ИПЕК</w:t>
      </w:r>
      <w:r w:rsidRPr="007E015D">
        <w:rPr>
          <w:rFonts w:ascii="Times New Roman" w:hAnsi="Times New Roman" w:cs="Times New Roman"/>
          <w:color w:val="000000"/>
          <w:sz w:val="24"/>
          <w:szCs w:val="24"/>
        </w:rPr>
        <w:t xml:space="preserve"> развитието на енергията от ВИ ще бъде съобразено с всички изисквания, произтичащи от екологичното законодателство, включително по отношение на защитените зони и Натура 2000. </w:t>
      </w:r>
    </w:p>
    <w:p w14:paraId="632B35C1" w14:textId="77777777" w:rsidR="006A1393" w:rsidRPr="007E015D" w:rsidRDefault="00CB0782" w:rsidP="007E015D">
      <w:pPr>
        <w:spacing w:after="0" w:line="276" w:lineRule="auto"/>
        <w:ind w:firstLine="709"/>
        <w:jc w:val="both"/>
        <w:rPr>
          <w:rFonts w:ascii="Times New Roman" w:hAnsi="Times New Roman" w:cs="Times New Roman"/>
          <w:color w:val="FF0000"/>
          <w:sz w:val="24"/>
          <w:szCs w:val="24"/>
        </w:rPr>
      </w:pPr>
      <w:r w:rsidRPr="007E015D">
        <w:rPr>
          <w:rFonts w:ascii="Times New Roman" w:hAnsi="Times New Roman" w:cs="Times New Roman"/>
          <w:color w:val="000000"/>
          <w:sz w:val="24"/>
          <w:szCs w:val="24"/>
        </w:rPr>
        <w:t>Всички проекти за изграждане на енергийни обекти за производство на енергия от ВИ ще бъдат реализирани при спазване разпоредбите на Закона за опазване на околната среда, Закона за биологичното разнообразие и др. нормативни актове в областта на екологичното законодателство.</w:t>
      </w:r>
    </w:p>
    <w:p w14:paraId="0BBA1544" w14:textId="77777777" w:rsidR="006A1393" w:rsidRPr="007E015D" w:rsidRDefault="006A1393" w:rsidP="007E015D">
      <w:pPr>
        <w:spacing w:after="0" w:line="276" w:lineRule="auto"/>
        <w:ind w:firstLine="709"/>
        <w:jc w:val="both"/>
        <w:rPr>
          <w:rFonts w:ascii="Times New Roman" w:hAnsi="Times New Roman" w:cs="Times New Roman"/>
          <w:sz w:val="24"/>
          <w:szCs w:val="24"/>
        </w:rPr>
      </w:pPr>
    </w:p>
    <w:p w14:paraId="7CCE979C" w14:textId="77777777" w:rsidR="00CB0782" w:rsidRDefault="00CB0782" w:rsidP="007E015D">
      <w:pPr>
        <w:autoSpaceDE w:val="0"/>
        <w:autoSpaceDN w:val="0"/>
        <w:adjustRightInd w:val="0"/>
        <w:spacing w:after="0" w:line="276" w:lineRule="auto"/>
        <w:ind w:firstLine="709"/>
        <w:jc w:val="both"/>
        <w:rPr>
          <w:rFonts w:ascii="Times New Roman" w:hAnsi="Times New Roman" w:cs="Times New Roman"/>
          <w:i/>
          <w:iCs/>
          <w:sz w:val="24"/>
          <w:szCs w:val="24"/>
        </w:rPr>
      </w:pPr>
      <w:r w:rsidRPr="007E015D">
        <w:rPr>
          <w:rFonts w:ascii="Times New Roman" w:hAnsi="Times New Roman" w:cs="Times New Roman"/>
          <w:i/>
          <w:iCs/>
          <w:sz w:val="24"/>
          <w:szCs w:val="24"/>
        </w:rPr>
        <w:t>ii. Прогнозни криви за дела по сектори на енергията от възобновяеми източници в брутното крайно енергийно потребление от 2021 г. до 2030 г. в секторите на електроенергетиката, отоплението и охлаждането, а също и сектора на транспорта</w:t>
      </w:r>
    </w:p>
    <w:p w14:paraId="1C9B2792" w14:textId="77777777" w:rsidR="007E015D" w:rsidRPr="007E015D" w:rsidRDefault="007E015D" w:rsidP="007E015D">
      <w:pPr>
        <w:autoSpaceDE w:val="0"/>
        <w:autoSpaceDN w:val="0"/>
        <w:adjustRightInd w:val="0"/>
        <w:spacing w:after="0" w:line="276" w:lineRule="auto"/>
        <w:ind w:firstLine="709"/>
        <w:jc w:val="both"/>
        <w:rPr>
          <w:rFonts w:ascii="Times New Roman" w:hAnsi="Times New Roman" w:cs="Times New Roman"/>
          <w:sz w:val="24"/>
          <w:szCs w:val="24"/>
        </w:rPr>
      </w:pPr>
    </w:p>
    <w:p w14:paraId="0749D519" w14:textId="77777777" w:rsidR="00CB0782" w:rsidRDefault="00CB0782" w:rsidP="007E015D">
      <w:pPr>
        <w:autoSpaceDE w:val="0"/>
        <w:autoSpaceDN w:val="0"/>
        <w:adjustRightInd w:val="0"/>
        <w:spacing w:after="0" w:line="276" w:lineRule="auto"/>
        <w:ind w:firstLine="709"/>
        <w:jc w:val="both"/>
        <w:rPr>
          <w:rFonts w:ascii="Times New Roman" w:hAnsi="Times New Roman" w:cs="Times New Roman"/>
          <w:i/>
          <w:iCs/>
          <w:sz w:val="24"/>
          <w:szCs w:val="24"/>
        </w:rPr>
      </w:pPr>
      <w:r w:rsidRPr="007E015D">
        <w:rPr>
          <w:rFonts w:ascii="Times New Roman" w:hAnsi="Times New Roman" w:cs="Times New Roman"/>
          <w:i/>
          <w:iCs/>
          <w:sz w:val="24"/>
          <w:szCs w:val="24"/>
        </w:rPr>
        <w:t xml:space="preserve">iii. Прогнозни криви по технологии за възобновяема енергия, които дадена държава членка предвижда да използва, за да се съобрази с общите и секторните криви за енергия от възобновяеми източници за периода 2020 – 2030 г., включително очакваното общо брутно крайно потребление на енергия за всяка технология и сектор в млн. т.н.е., както и общи планирани инсталирани мощности (разделени на нови мощности и увеличение на мощността на съществуващи инсталации) за всяка технология в MW </w:t>
      </w:r>
    </w:p>
    <w:p w14:paraId="3680D761" w14:textId="77777777" w:rsidR="007E015D" w:rsidRPr="007E015D" w:rsidRDefault="007E015D" w:rsidP="007E015D">
      <w:pPr>
        <w:autoSpaceDE w:val="0"/>
        <w:autoSpaceDN w:val="0"/>
        <w:adjustRightInd w:val="0"/>
        <w:spacing w:after="0" w:line="276" w:lineRule="auto"/>
        <w:ind w:firstLine="709"/>
        <w:jc w:val="both"/>
        <w:rPr>
          <w:rFonts w:ascii="Times New Roman" w:hAnsi="Times New Roman" w:cs="Times New Roman"/>
          <w:sz w:val="24"/>
          <w:szCs w:val="24"/>
        </w:rPr>
      </w:pPr>
    </w:p>
    <w:p w14:paraId="07D38007" w14:textId="77777777" w:rsidR="00CB0782" w:rsidRPr="007E015D" w:rsidRDefault="00CB0782" w:rsidP="007E015D">
      <w:pPr>
        <w:autoSpaceDE w:val="0"/>
        <w:autoSpaceDN w:val="0"/>
        <w:adjustRightInd w:val="0"/>
        <w:spacing w:after="0" w:line="276" w:lineRule="auto"/>
        <w:ind w:firstLine="709"/>
        <w:jc w:val="both"/>
        <w:rPr>
          <w:rFonts w:ascii="Times New Roman" w:hAnsi="Times New Roman" w:cs="Times New Roman"/>
          <w:i/>
          <w:iCs/>
          <w:sz w:val="24"/>
          <w:szCs w:val="24"/>
        </w:rPr>
      </w:pPr>
      <w:r w:rsidRPr="007E015D">
        <w:rPr>
          <w:rFonts w:ascii="Times New Roman" w:hAnsi="Times New Roman" w:cs="Times New Roman"/>
          <w:i/>
          <w:iCs/>
          <w:sz w:val="24"/>
          <w:szCs w:val="24"/>
        </w:rPr>
        <w:t xml:space="preserve">iv. Прогнозни криви за потреблението на енергия от биомаса, разпределени между топлинната и електрическата енергия и транспорта, и криви за осигуряването на биомаса от различни суровини, с посочване на произхода им (като се прави разграничение между национално производство и внос). За биомасата с произход от горското стопанство – оценка на произхода ѝ, както и оценка на въздействието върху въглеродните поглътители в областта на LULUCF </w:t>
      </w:r>
    </w:p>
    <w:p w14:paraId="57E35393" w14:textId="77777777" w:rsidR="007E015D" w:rsidRPr="007E015D" w:rsidRDefault="007E015D" w:rsidP="007E015D">
      <w:pPr>
        <w:autoSpaceDE w:val="0"/>
        <w:autoSpaceDN w:val="0"/>
        <w:adjustRightInd w:val="0"/>
        <w:spacing w:after="0" w:line="276" w:lineRule="auto"/>
        <w:ind w:firstLine="709"/>
        <w:jc w:val="both"/>
        <w:rPr>
          <w:rFonts w:ascii="Times New Roman" w:hAnsi="Times New Roman" w:cs="Times New Roman"/>
          <w:sz w:val="24"/>
          <w:szCs w:val="24"/>
        </w:rPr>
      </w:pPr>
    </w:p>
    <w:p w14:paraId="470A0FBC" w14:textId="77777777" w:rsidR="006A1393" w:rsidRPr="007E015D" w:rsidRDefault="00CB0782" w:rsidP="007E015D">
      <w:pPr>
        <w:spacing w:after="0" w:line="276" w:lineRule="auto"/>
        <w:ind w:firstLine="709"/>
        <w:jc w:val="both"/>
        <w:rPr>
          <w:rFonts w:ascii="Times New Roman" w:hAnsi="Times New Roman" w:cs="Times New Roman"/>
          <w:i/>
          <w:iCs/>
          <w:sz w:val="24"/>
          <w:szCs w:val="24"/>
        </w:rPr>
      </w:pPr>
      <w:r w:rsidRPr="007E015D">
        <w:rPr>
          <w:rFonts w:ascii="Times New Roman" w:hAnsi="Times New Roman" w:cs="Times New Roman"/>
          <w:i/>
          <w:iCs/>
          <w:sz w:val="24"/>
          <w:szCs w:val="24"/>
        </w:rPr>
        <w:t>v. Ако е приложимо, други национални криви и цели, включително дългосрочни или секторни (например дял на възобновяемата енергия в топлоснабдяването, използването на възобновяема енергия, възобновяема енергия, произведена от градовете, енергийните общности и самостоятелните потребители, енергия, добита от утайки, получени от пречистване на отпадни води)</w:t>
      </w:r>
    </w:p>
    <w:p w14:paraId="680A7743" w14:textId="77777777" w:rsidR="007E015D" w:rsidRPr="007E015D" w:rsidRDefault="007E015D" w:rsidP="007E015D">
      <w:pPr>
        <w:spacing w:after="0" w:line="276" w:lineRule="auto"/>
        <w:ind w:firstLine="709"/>
        <w:jc w:val="both"/>
        <w:rPr>
          <w:rFonts w:ascii="Times New Roman" w:hAnsi="Times New Roman" w:cs="Times New Roman"/>
          <w:sz w:val="24"/>
          <w:szCs w:val="24"/>
        </w:rPr>
      </w:pPr>
    </w:p>
    <w:p w14:paraId="748E289E" w14:textId="77777777" w:rsidR="00CB0782" w:rsidRPr="007E015D" w:rsidRDefault="00CB0782" w:rsidP="007E015D">
      <w:pPr>
        <w:autoSpaceDE w:val="0"/>
        <w:autoSpaceDN w:val="0"/>
        <w:adjustRightInd w:val="0"/>
        <w:spacing w:after="0" w:line="276" w:lineRule="auto"/>
        <w:ind w:firstLine="709"/>
        <w:jc w:val="both"/>
        <w:rPr>
          <w:rFonts w:ascii="Times New Roman" w:hAnsi="Times New Roman" w:cs="Times New Roman"/>
          <w:b/>
          <w:i/>
          <w:iCs/>
          <w:sz w:val="24"/>
          <w:szCs w:val="24"/>
        </w:rPr>
      </w:pPr>
      <w:r w:rsidRPr="007E015D">
        <w:rPr>
          <w:rFonts w:ascii="Times New Roman" w:hAnsi="Times New Roman" w:cs="Times New Roman"/>
          <w:b/>
          <w:i/>
          <w:iCs/>
          <w:sz w:val="24"/>
          <w:szCs w:val="24"/>
        </w:rPr>
        <w:t xml:space="preserve">Не е приложимо </w:t>
      </w:r>
    </w:p>
    <w:p w14:paraId="0CB92917" w14:textId="77777777" w:rsidR="007E015D" w:rsidRPr="007E015D" w:rsidRDefault="007E015D"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366A1C37" w14:textId="77777777" w:rsidR="00CB0782" w:rsidRPr="007E015D" w:rsidRDefault="00870284" w:rsidP="00870284">
      <w:pPr>
        <w:shd w:val="clear" w:color="auto" w:fill="F7CAAC" w:themeFill="accent2" w:themeFillTint="66"/>
        <w:autoSpaceDE w:val="0"/>
        <w:autoSpaceDN w:val="0"/>
        <w:adjustRightInd w:val="0"/>
        <w:spacing w:after="0" w:line="276"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1.2.1.2. </w:t>
      </w:r>
      <w:r w:rsidR="008E28BC">
        <w:rPr>
          <w:rFonts w:ascii="Times New Roman" w:hAnsi="Times New Roman" w:cs="Times New Roman"/>
          <w:b/>
          <w:bCs/>
          <w:sz w:val="24"/>
          <w:szCs w:val="24"/>
        </w:rPr>
        <w:t>Измерение„</w:t>
      </w:r>
      <w:r w:rsidR="00CB0782" w:rsidRPr="007E015D">
        <w:rPr>
          <w:rFonts w:ascii="Times New Roman" w:hAnsi="Times New Roman" w:cs="Times New Roman"/>
          <w:b/>
          <w:bCs/>
          <w:sz w:val="24"/>
          <w:szCs w:val="24"/>
        </w:rPr>
        <w:t xml:space="preserve">Енергийна ефективност“ </w:t>
      </w:r>
    </w:p>
    <w:p w14:paraId="1FC9410D" w14:textId="77777777" w:rsidR="00CB0782" w:rsidRPr="00870284" w:rsidRDefault="00CB0782" w:rsidP="007E015D">
      <w:pPr>
        <w:autoSpaceDE w:val="0"/>
        <w:autoSpaceDN w:val="0"/>
        <w:adjustRightInd w:val="0"/>
        <w:spacing w:after="0" w:line="276" w:lineRule="auto"/>
        <w:ind w:firstLine="709"/>
        <w:jc w:val="both"/>
        <w:rPr>
          <w:rFonts w:ascii="Times New Roman" w:hAnsi="Times New Roman" w:cs="Times New Roman"/>
          <w:sz w:val="24"/>
          <w:szCs w:val="24"/>
        </w:rPr>
      </w:pPr>
      <w:r w:rsidRPr="00870284">
        <w:rPr>
          <w:rFonts w:ascii="Times New Roman" w:hAnsi="Times New Roman" w:cs="Times New Roman"/>
          <w:i/>
          <w:iCs/>
          <w:sz w:val="24"/>
          <w:szCs w:val="24"/>
        </w:rPr>
        <w:t xml:space="preserve">i. Елементите, посочени в член 4, буква б) </w:t>
      </w:r>
    </w:p>
    <w:p w14:paraId="06D145C0" w14:textId="77777777" w:rsidR="00CB0782" w:rsidRPr="007E015D" w:rsidRDefault="00CB0782"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Индикативен национален принос по отнош</w:t>
      </w:r>
      <w:r w:rsidR="00C12E60">
        <w:rPr>
          <w:rFonts w:ascii="Times New Roman" w:hAnsi="Times New Roman" w:cs="Times New Roman"/>
          <w:color w:val="000000"/>
          <w:sz w:val="24"/>
          <w:szCs w:val="24"/>
        </w:rPr>
        <w:t>ение на енергийната ефективност.</w:t>
      </w:r>
    </w:p>
    <w:p w14:paraId="256D88CE" w14:textId="77777777" w:rsidR="006A1393" w:rsidRPr="00C12E60" w:rsidRDefault="00CB0782" w:rsidP="007E015D">
      <w:pPr>
        <w:spacing w:after="0" w:line="276" w:lineRule="auto"/>
        <w:ind w:firstLine="709"/>
        <w:jc w:val="both"/>
        <w:rPr>
          <w:rFonts w:ascii="Times New Roman" w:hAnsi="Times New Roman" w:cs="Times New Roman"/>
          <w:sz w:val="24"/>
          <w:szCs w:val="24"/>
        </w:rPr>
      </w:pPr>
      <w:r w:rsidRPr="007E015D">
        <w:rPr>
          <w:rFonts w:ascii="Times New Roman" w:hAnsi="Times New Roman" w:cs="Times New Roman"/>
          <w:i/>
          <w:iCs/>
          <w:color w:val="000000"/>
          <w:sz w:val="24"/>
          <w:szCs w:val="24"/>
        </w:rPr>
        <w:t xml:space="preserve">Обща кумулативна цел за енергийни спестявания за периода 2021-2030 г., съгласно чл. 8 относно задълженията за енергийни спестявания съгласно Директива </w:t>
      </w:r>
      <w:r w:rsidRPr="007E015D">
        <w:rPr>
          <w:rFonts w:ascii="Times New Roman" w:hAnsi="Times New Roman" w:cs="Times New Roman"/>
          <w:color w:val="000000"/>
          <w:sz w:val="24"/>
          <w:szCs w:val="24"/>
        </w:rPr>
        <w:t>(ЕС) 2023/1791</w:t>
      </w:r>
      <w:r w:rsidR="00C12E60">
        <w:rPr>
          <w:rFonts w:ascii="Times New Roman" w:hAnsi="Times New Roman" w:cs="Times New Roman"/>
          <w:color w:val="000000"/>
          <w:sz w:val="24"/>
          <w:szCs w:val="24"/>
        </w:rPr>
        <w:t>.</w:t>
      </w:r>
    </w:p>
    <w:p w14:paraId="76260732" w14:textId="77777777" w:rsidR="00CB0782" w:rsidRPr="007E015D" w:rsidRDefault="00CB0782"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Съгласно член 8, параграф 1, буква б) от Директива (ЕС) 2023/1791 на Европейския Парламент и на Съвета от 13 септември 2023 година за енергийната ефективност и за изменение на Регламент (ЕС) 2023/955 (преработен текст), държавите членки постигат кумулативни икономии на енергия при крайното потребление, които са равни нови икономии ежегодно от 1 януари 2021 г. до 31 декември 2030 г. в размер на: </w:t>
      </w:r>
    </w:p>
    <w:p w14:paraId="2BEF0A7E" w14:textId="77777777" w:rsidR="00CB0782" w:rsidRPr="00870284" w:rsidRDefault="00CB0782" w:rsidP="004F15F5">
      <w:pPr>
        <w:pStyle w:val="ListParagraph"/>
        <w:numPr>
          <w:ilvl w:val="0"/>
          <w:numId w:val="25"/>
        </w:numPr>
        <w:autoSpaceDE w:val="0"/>
        <w:autoSpaceDN w:val="0"/>
        <w:adjustRightInd w:val="0"/>
        <w:spacing w:after="213" w:line="276" w:lineRule="auto"/>
        <w:jc w:val="both"/>
        <w:rPr>
          <w:rFonts w:ascii="Times New Roman" w:hAnsi="Times New Roman" w:cs="Times New Roman"/>
          <w:color w:val="000000"/>
          <w:sz w:val="24"/>
          <w:szCs w:val="24"/>
        </w:rPr>
      </w:pPr>
      <w:r w:rsidRPr="00870284">
        <w:rPr>
          <w:rFonts w:ascii="Times New Roman" w:hAnsi="Times New Roman" w:cs="Times New Roman"/>
          <w:color w:val="000000"/>
          <w:sz w:val="24"/>
          <w:szCs w:val="24"/>
        </w:rPr>
        <w:t xml:space="preserve">0.8% от годишното крайно енергийно потребление от 1 януари 2021 г. до 31 декември 2023 г., осреднено за последния тригодишен период, предхождащ 1 януари 2019 г.; </w:t>
      </w:r>
    </w:p>
    <w:p w14:paraId="0C724B09" w14:textId="77777777" w:rsidR="00CB0782" w:rsidRPr="00870284" w:rsidRDefault="00CB0782" w:rsidP="004F15F5">
      <w:pPr>
        <w:pStyle w:val="ListParagraph"/>
        <w:numPr>
          <w:ilvl w:val="0"/>
          <w:numId w:val="25"/>
        </w:numPr>
        <w:autoSpaceDE w:val="0"/>
        <w:autoSpaceDN w:val="0"/>
        <w:adjustRightInd w:val="0"/>
        <w:spacing w:after="213" w:line="276" w:lineRule="auto"/>
        <w:jc w:val="both"/>
        <w:rPr>
          <w:rFonts w:ascii="Times New Roman" w:hAnsi="Times New Roman" w:cs="Times New Roman"/>
          <w:color w:val="000000"/>
          <w:sz w:val="24"/>
          <w:szCs w:val="24"/>
        </w:rPr>
      </w:pPr>
      <w:r w:rsidRPr="00870284">
        <w:rPr>
          <w:rFonts w:ascii="Times New Roman" w:hAnsi="Times New Roman" w:cs="Times New Roman"/>
          <w:color w:val="000000"/>
          <w:sz w:val="24"/>
          <w:szCs w:val="24"/>
        </w:rPr>
        <w:t xml:space="preserve">1.3% от годишното крайно енергийно потребление от 1 януари 2024 г. до 31 декември 2025 г., осреднено за последния тригодишен период, предхождащ 1 януари 2019 г.; </w:t>
      </w:r>
    </w:p>
    <w:p w14:paraId="17B541C8" w14:textId="77777777" w:rsidR="00CB0782" w:rsidRPr="00870284" w:rsidRDefault="00CB0782" w:rsidP="004F15F5">
      <w:pPr>
        <w:pStyle w:val="ListParagraph"/>
        <w:numPr>
          <w:ilvl w:val="0"/>
          <w:numId w:val="25"/>
        </w:numPr>
        <w:autoSpaceDE w:val="0"/>
        <w:autoSpaceDN w:val="0"/>
        <w:adjustRightInd w:val="0"/>
        <w:spacing w:after="213" w:line="276" w:lineRule="auto"/>
        <w:jc w:val="both"/>
        <w:rPr>
          <w:rFonts w:ascii="Times New Roman" w:hAnsi="Times New Roman" w:cs="Times New Roman"/>
          <w:color w:val="000000"/>
          <w:sz w:val="24"/>
          <w:szCs w:val="24"/>
        </w:rPr>
      </w:pPr>
      <w:r w:rsidRPr="00870284">
        <w:rPr>
          <w:rFonts w:ascii="Times New Roman" w:hAnsi="Times New Roman" w:cs="Times New Roman"/>
          <w:color w:val="000000"/>
          <w:sz w:val="24"/>
          <w:szCs w:val="24"/>
        </w:rPr>
        <w:t xml:space="preserve">1.5% от годишното крайно енергийно потребление от 1 януари 2026 г. до 31 декември 2027 г., осреднено за последния тригодишен период, предхождащ 1 януари 2019 г.; </w:t>
      </w:r>
    </w:p>
    <w:p w14:paraId="1FA96143" w14:textId="77777777" w:rsidR="00CB0782" w:rsidRPr="00870284" w:rsidRDefault="00CB0782" w:rsidP="004F15F5">
      <w:pPr>
        <w:pStyle w:val="ListParagraph"/>
        <w:numPr>
          <w:ilvl w:val="0"/>
          <w:numId w:val="25"/>
        </w:numPr>
        <w:autoSpaceDE w:val="0"/>
        <w:autoSpaceDN w:val="0"/>
        <w:adjustRightInd w:val="0"/>
        <w:spacing w:after="0" w:line="276" w:lineRule="auto"/>
        <w:jc w:val="both"/>
        <w:rPr>
          <w:rFonts w:ascii="Times New Roman" w:hAnsi="Times New Roman" w:cs="Times New Roman"/>
          <w:color w:val="000000"/>
          <w:sz w:val="24"/>
          <w:szCs w:val="24"/>
        </w:rPr>
      </w:pPr>
      <w:r w:rsidRPr="00870284">
        <w:rPr>
          <w:rFonts w:ascii="Times New Roman" w:hAnsi="Times New Roman" w:cs="Times New Roman"/>
          <w:color w:val="000000"/>
          <w:sz w:val="24"/>
          <w:szCs w:val="24"/>
        </w:rPr>
        <w:t xml:space="preserve">1.9% от годишното крайно енергийно потребление от 1 януари 2028 г. до 31 декември 2030 г., осреднено за последния тригодишен период, предхождащ 1 януари 2019 г. </w:t>
      </w:r>
    </w:p>
    <w:p w14:paraId="40050561" w14:textId="77777777" w:rsidR="00CB0782" w:rsidRPr="007E015D" w:rsidRDefault="00CB0782"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1BAC435D" w14:textId="77777777" w:rsidR="006A1393" w:rsidRPr="008E28BC" w:rsidRDefault="00CB0782" w:rsidP="007E015D">
      <w:pPr>
        <w:spacing w:after="0" w:line="276" w:lineRule="auto"/>
        <w:ind w:firstLine="709"/>
        <w:jc w:val="both"/>
        <w:rPr>
          <w:rFonts w:ascii="Times New Roman" w:hAnsi="Times New Roman" w:cs="Times New Roman"/>
          <w:sz w:val="24"/>
          <w:szCs w:val="24"/>
        </w:rPr>
      </w:pPr>
      <w:r w:rsidRPr="007E015D">
        <w:rPr>
          <w:rFonts w:ascii="Times New Roman" w:hAnsi="Times New Roman" w:cs="Times New Roman"/>
          <w:color w:val="000000"/>
          <w:sz w:val="24"/>
          <w:szCs w:val="24"/>
        </w:rPr>
        <w:lastRenderedPageBreak/>
        <w:t>Въз основа на средното годишно крайно потребление на енергия за периода 2016-2018 г. са изчислени енергийните спестявания, които трябва да бъдат постигнати в периода 2021-2030 г. и съответно кумулативната цел за спестяване на енергия, която трябва да бъде постигната до 31 декември 2030 г. Тези стойности са представени във следващата таблица.</w:t>
      </w:r>
    </w:p>
    <w:p w14:paraId="3AA11A8E" w14:textId="77777777" w:rsidR="00870284" w:rsidRDefault="00870284" w:rsidP="007E015D">
      <w:pPr>
        <w:autoSpaceDE w:val="0"/>
        <w:autoSpaceDN w:val="0"/>
        <w:adjustRightInd w:val="0"/>
        <w:spacing w:after="0" w:line="276" w:lineRule="auto"/>
        <w:ind w:firstLine="709"/>
        <w:jc w:val="both"/>
        <w:rPr>
          <w:rFonts w:ascii="Times New Roman" w:hAnsi="Times New Roman" w:cs="Times New Roman"/>
          <w:i/>
          <w:iCs/>
          <w:color w:val="365F91"/>
          <w:sz w:val="24"/>
          <w:szCs w:val="24"/>
        </w:rPr>
      </w:pPr>
    </w:p>
    <w:p w14:paraId="51849646" w14:textId="77777777" w:rsidR="00CB0782" w:rsidRPr="00870284" w:rsidRDefault="00CB0782" w:rsidP="007E015D">
      <w:pPr>
        <w:autoSpaceDE w:val="0"/>
        <w:autoSpaceDN w:val="0"/>
        <w:adjustRightInd w:val="0"/>
        <w:spacing w:after="0" w:line="276" w:lineRule="auto"/>
        <w:ind w:firstLine="709"/>
        <w:jc w:val="both"/>
        <w:rPr>
          <w:rFonts w:ascii="Times New Roman" w:hAnsi="Times New Roman" w:cs="Times New Roman"/>
          <w:sz w:val="24"/>
          <w:szCs w:val="24"/>
        </w:rPr>
      </w:pPr>
      <w:r w:rsidRPr="00870284">
        <w:rPr>
          <w:rFonts w:ascii="Times New Roman" w:hAnsi="Times New Roman" w:cs="Times New Roman"/>
          <w:i/>
          <w:iCs/>
          <w:sz w:val="24"/>
          <w:szCs w:val="24"/>
        </w:rPr>
        <w:t xml:space="preserve">ii. Ориентировъчните етапни цели за 2030 г., 2040 г. и 2050 г., установените на национално равнище показатели за напредъка и техния принос за постигане на целите на Съюза в областта на енергийната ефективност, включени в пътните карти, определени в дългосрочните стратегии за саниране на националния фонд от жилищни и нежилищни сгради (частни и обществени), в съответствие с член 2а от Директива 2010/31/ЕС </w:t>
      </w:r>
    </w:p>
    <w:p w14:paraId="6685C95A" w14:textId="77777777" w:rsidR="00CB0782" w:rsidRPr="007E015D" w:rsidRDefault="00CB0782"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Съгласно приетата на 30 май 2018 г. Директива (ЕС) 2018/844 на Европейския парламент и на Съвета изменяща Директива 2010/31/ЕС държавите членки следва да разработят дългосрочна стратегия за саниране в подкрепа на санирането на националния сграден фонд от жилищни и нежилищни сгради, както обществени, така и частни, за постигане на високо енергийно ефективен и декарбонизиран сграден фонд до 2050 г., улеснявайки разходно ефективната трансформация на съществуващите сгради в сгради с близко до нулево нетно потребление на енергия. В тази връзка беше разработена Дългосрочна национална стратегия за подпомагане обновяването на националния сграден фонд от жилищни и нежилищни сгради до 2050 г., с която се определят: </w:t>
      </w:r>
    </w:p>
    <w:p w14:paraId="358A7E4D" w14:textId="77777777" w:rsidR="00CB0782" w:rsidRPr="007E015D" w:rsidRDefault="00CB0782" w:rsidP="00870284">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индикативни междинни цели за 2030 г., 2040 г. и 2050 г.; </w:t>
      </w:r>
    </w:p>
    <w:p w14:paraId="1D1C2C70" w14:textId="77777777" w:rsidR="00CB0782" w:rsidRPr="007E015D" w:rsidRDefault="00CB0782" w:rsidP="00870284">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описание на финансови средства за подпомагане на изпълнението на стратегията; </w:t>
      </w:r>
    </w:p>
    <w:p w14:paraId="5CE17DB5" w14:textId="77777777" w:rsidR="00CB0782" w:rsidRPr="007E015D" w:rsidRDefault="00CB0782" w:rsidP="00870284">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ефективни механизми за насърчаване на инвестициите в санирането на сгради. </w:t>
      </w:r>
    </w:p>
    <w:p w14:paraId="51A06B5C" w14:textId="77777777" w:rsidR="00870284" w:rsidRDefault="00870284"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124383C3" w14:textId="77777777" w:rsidR="00CB0782" w:rsidRPr="00870284" w:rsidRDefault="00CB0782" w:rsidP="007E015D">
      <w:pPr>
        <w:autoSpaceDE w:val="0"/>
        <w:autoSpaceDN w:val="0"/>
        <w:adjustRightInd w:val="0"/>
        <w:spacing w:after="0" w:line="276" w:lineRule="auto"/>
        <w:ind w:firstLine="709"/>
        <w:jc w:val="both"/>
        <w:rPr>
          <w:rFonts w:ascii="Times New Roman" w:hAnsi="Times New Roman" w:cs="Times New Roman"/>
          <w:sz w:val="24"/>
          <w:szCs w:val="24"/>
        </w:rPr>
      </w:pPr>
      <w:r w:rsidRPr="00870284">
        <w:rPr>
          <w:rFonts w:ascii="Times New Roman" w:hAnsi="Times New Roman" w:cs="Times New Roman"/>
          <w:i/>
          <w:iCs/>
          <w:sz w:val="24"/>
          <w:szCs w:val="24"/>
        </w:rPr>
        <w:t xml:space="preserve">iii. Ако е приложимо, други национални цели, включително дългосрочни цели или стратегии и секторни цели, както и национални общи цели в области като енергийната ефективност в транспортния сектор и по отношение на отоплението и охлаждането </w:t>
      </w:r>
    </w:p>
    <w:p w14:paraId="4322936D" w14:textId="77777777" w:rsidR="00CB0782" w:rsidRPr="007E015D" w:rsidRDefault="00CB0782"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Постигането на целите за повишаване на енергийната ефективност е стратегически свързано с обновяването на сградния фонд, като приоритет ще се дава на енергийната ефективност в съчетание с използването на възобновяеми енергийни източници в сградния сектор. </w:t>
      </w:r>
    </w:p>
    <w:p w14:paraId="207E904B" w14:textId="77777777" w:rsidR="006A1393" w:rsidRPr="008E28BC" w:rsidRDefault="00CB0782" w:rsidP="007E015D">
      <w:pPr>
        <w:spacing w:after="0" w:line="276" w:lineRule="auto"/>
        <w:ind w:firstLine="709"/>
        <w:jc w:val="both"/>
        <w:rPr>
          <w:rFonts w:ascii="Times New Roman" w:hAnsi="Times New Roman" w:cs="Times New Roman"/>
          <w:sz w:val="24"/>
          <w:szCs w:val="24"/>
        </w:rPr>
      </w:pPr>
      <w:r w:rsidRPr="007E015D">
        <w:rPr>
          <w:rFonts w:ascii="Times New Roman" w:hAnsi="Times New Roman" w:cs="Times New Roman"/>
          <w:color w:val="000000"/>
          <w:sz w:val="24"/>
          <w:szCs w:val="24"/>
        </w:rPr>
        <w:t>Ще се дава приоритет на навлизането на високоефективните охладителни и отоплителни инсталации, на въвеждането на иновативните технологии, използващи геотермална, хидротермална и слънчева енергия, и на използването на отпадна топлина и студ.</w:t>
      </w:r>
    </w:p>
    <w:p w14:paraId="327262F7" w14:textId="77777777" w:rsidR="00CB0782" w:rsidRPr="007E015D" w:rsidRDefault="00CB0782"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Освен това ще се насърчава използването на ефективно централно отопление и централно охлаждане. Предвижда се, чрез нови топлофикационни мрежи – локални и разширения на съществуващите, да се задоволят потребностите в сградите от обществен сектор и услугите, които не са свързани към централно отопление. </w:t>
      </w:r>
    </w:p>
    <w:p w14:paraId="694B6FC6" w14:textId="77777777" w:rsidR="00CB0782" w:rsidRPr="007E015D" w:rsidRDefault="00CB0782"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Потенциалът за енергийна ефективност на инфраструктурата на централното отопление и охлаждане се съдържа в рехабилитацията на топлопреносните мрежи. </w:t>
      </w:r>
      <w:r w:rsidRPr="007E015D">
        <w:rPr>
          <w:rFonts w:ascii="Times New Roman" w:hAnsi="Times New Roman" w:cs="Times New Roman"/>
          <w:color w:val="000000"/>
          <w:sz w:val="24"/>
          <w:szCs w:val="24"/>
        </w:rPr>
        <w:lastRenderedPageBreak/>
        <w:t xml:space="preserve">Предвижда се използването на най–ефективните способи за пренос на топлоносител посредством предварително изолирани тръби и нарастване дела на използване на отпадната топлина с цел намаляване на топлинните загуби в мрежите. За повишаване на ефективността на топлопреносните мрежи се предвижда използването на усъвършенствани стратегии за управление и решения за мониторинг като сензори и интелигентни измервателни уреди за оптимизиране на потока на топлина/охлаждане, включително намаляване на температурата на топлоносителите и интегриране на повече ВЕИ. </w:t>
      </w:r>
    </w:p>
    <w:p w14:paraId="0E0BFB2A" w14:textId="77777777" w:rsidR="006A1393" w:rsidRPr="008E28BC" w:rsidRDefault="00CB0782" w:rsidP="007E015D">
      <w:pPr>
        <w:spacing w:after="0" w:line="276" w:lineRule="auto"/>
        <w:ind w:firstLine="709"/>
        <w:jc w:val="both"/>
        <w:rPr>
          <w:rFonts w:ascii="Times New Roman" w:hAnsi="Times New Roman" w:cs="Times New Roman"/>
          <w:sz w:val="24"/>
          <w:szCs w:val="24"/>
        </w:rPr>
      </w:pPr>
      <w:r w:rsidRPr="007E015D">
        <w:rPr>
          <w:rFonts w:ascii="Times New Roman" w:hAnsi="Times New Roman" w:cs="Times New Roman"/>
          <w:color w:val="000000"/>
          <w:sz w:val="24"/>
          <w:szCs w:val="24"/>
        </w:rPr>
        <w:t xml:space="preserve">Инвестирането в модернизиране на съществуващите конвекционални системи за централно отопление и постепенното им превръщане в интелигентни топлинни мрежи ще позволи посрещането на бъдещите енергийни нужди, характеризиращи се с нарастваща зависимост от променливите възобновяеми енергийни източници. Чрез насърчаване на интелигентен контрол и обмен на данни в </w:t>
      </w:r>
      <w:r w:rsidRPr="008E28BC">
        <w:rPr>
          <w:rFonts w:ascii="Times New Roman" w:hAnsi="Times New Roman" w:cs="Times New Roman"/>
          <w:sz w:val="24"/>
          <w:szCs w:val="24"/>
        </w:rPr>
        <w:t>цялата система се очаква да се оптимизира работа си в краткосрочен и средносрочен план.</w:t>
      </w:r>
    </w:p>
    <w:p w14:paraId="7CAF33E0" w14:textId="77777777" w:rsidR="000F45EC" w:rsidRDefault="000F45EC"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Предвиждат се адекватни стимули за ефективно централизирано топлоснабдяване чрез национални политики и ангажираност на местните власти и заинтересованите страни, както и подкрепа за нови инвестиции чрез пряко и непряко финансиране. Ще бъдат използвани възможностите за интегриране на планирането на централизираното топлоснабдяване в градското планиране и съответната настройка на нормативната уредба за сградите и градското планиране, за да се даде възможност за свързване към централизирано топлопреносни мрежи, включително и към системи за децентрализирано топлоснабдяване. </w:t>
      </w:r>
    </w:p>
    <w:p w14:paraId="68660C5D" w14:textId="77777777" w:rsidR="00870284" w:rsidRPr="007E015D" w:rsidRDefault="00870284"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2DF52C85" w14:textId="77777777" w:rsidR="000F45EC" w:rsidRPr="00870284" w:rsidRDefault="00870284" w:rsidP="00870284">
      <w:pPr>
        <w:shd w:val="clear" w:color="auto" w:fill="F7CAAC" w:themeFill="accent2" w:themeFillTint="66"/>
        <w:autoSpaceDE w:val="0"/>
        <w:autoSpaceDN w:val="0"/>
        <w:adjustRightInd w:val="0"/>
        <w:spacing w:after="0" w:line="276"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1.</w:t>
      </w:r>
      <w:r w:rsidR="000F45EC" w:rsidRPr="00870284">
        <w:rPr>
          <w:rFonts w:ascii="Times New Roman" w:hAnsi="Times New Roman" w:cs="Times New Roman"/>
          <w:b/>
          <w:bCs/>
          <w:sz w:val="24"/>
          <w:szCs w:val="24"/>
        </w:rPr>
        <w:t>2.</w:t>
      </w:r>
      <w:r>
        <w:rPr>
          <w:rFonts w:ascii="Times New Roman" w:hAnsi="Times New Roman" w:cs="Times New Roman"/>
          <w:b/>
          <w:bCs/>
          <w:sz w:val="24"/>
          <w:szCs w:val="24"/>
        </w:rPr>
        <w:t>1.</w:t>
      </w:r>
      <w:r w:rsidR="000F45EC" w:rsidRPr="00870284">
        <w:rPr>
          <w:rFonts w:ascii="Times New Roman" w:hAnsi="Times New Roman" w:cs="Times New Roman"/>
          <w:b/>
          <w:bCs/>
          <w:sz w:val="24"/>
          <w:szCs w:val="24"/>
        </w:rPr>
        <w:t xml:space="preserve">3. Измерение „Енергийна сигурност“ </w:t>
      </w:r>
    </w:p>
    <w:p w14:paraId="31B9B0E6" w14:textId="77777777" w:rsidR="000F45EC" w:rsidRPr="00870284" w:rsidRDefault="000F45EC" w:rsidP="007E015D">
      <w:pPr>
        <w:autoSpaceDE w:val="0"/>
        <w:autoSpaceDN w:val="0"/>
        <w:adjustRightInd w:val="0"/>
        <w:spacing w:after="0" w:line="276" w:lineRule="auto"/>
        <w:ind w:firstLine="709"/>
        <w:jc w:val="both"/>
        <w:rPr>
          <w:rFonts w:ascii="Times New Roman" w:hAnsi="Times New Roman" w:cs="Times New Roman"/>
          <w:sz w:val="24"/>
          <w:szCs w:val="24"/>
        </w:rPr>
      </w:pPr>
      <w:r w:rsidRPr="00870284">
        <w:rPr>
          <w:rFonts w:ascii="Times New Roman" w:hAnsi="Times New Roman" w:cs="Times New Roman"/>
          <w:i/>
          <w:iCs/>
          <w:sz w:val="24"/>
          <w:szCs w:val="24"/>
        </w:rPr>
        <w:t xml:space="preserve">i. Елементите, посочени в член 4, буква в) </w:t>
      </w:r>
    </w:p>
    <w:p w14:paraId="3BC44571" w14:textId="77777777" w:rsidR="006A1393" w:rsidRPr="007E015D" w:rsidRDefault="000F45EC" w:rsidP="007E015D">
      <w:pPr>
        <w:spacing w:after="0" w:line="276" w:lineRule="auto"/>
        <w:ind w:firstLine="709"/>
        <w:jc w:val="both"/>
        <w:rPr>
          <w:rFonts w:ascii="Times New Roman" w:hAnsi="Times New Roman" w:cs="Times New Roman"/>
          <w:color w:val="FF0000"/>
          <w:sz w:val="24"/>
          <w:szCs w:val="24"/>
        </w:rPr>
      </w:pPr>
      <w:r w:rsidRPr="007E015D">
        <w:rPr>
          <w:rFonts w:ascii="Times New Roman" w:hAnsi="Times New Roman" w:cs="Times New Roman"/>
          <w:color w:val="000000"/>
          <w:sz w:val="24"/>
          <w:szCs w:val="24"/>
        </w:rPr>
        <w:t>Създадената регионална група за Югоизточна Европа идентифицира различните проблеми по отделните стълбове в региона (потребление, взаимозаменяемост на електроенергия и газ, инфраструктура, споразумения за междусистемна свързаност, доставки, съставяне на план за действие, финансиране – по плана REPowerEU и др.). Регионалната група си сътрудничи с договарящите се страни от Енергийната общност и Секретариата на Енергийната общност в усилията си за цялостно повишаване на енергийната сигурност в региона.</w:t>
      </w:r>
    </w:p>
    <w:p w14:paraId="73A8CA60" w14:textId="77777777" w:rsidR="000F45EC" w:rsidRPr="007E015D" w:rsidRDefault="000F45EC"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Първата среща на Регионалната работна група, част от енергийната платформа на ЕС, се проведе в рамките на Регионалната министерска среща за енергийна сигурност, диверсификация и зелен преход, която се състоя в София на 5 май 2022 г. На 1 юни 2022 г. Регионалната група за Югоизточна Европа договори план за действие, който да направлява следващите стъпки за диверсификация и сигурност на доставките в региона след прекъсването на доставките на газ от Русия. Планът за действие предвижда съвместни усилия на региона и Европейската комисия по три стълба: </w:t>
      </w:r>
    </w:p>
    <w:p w14:paraId="2D68CC46" w14:textId="77777777" w:rsidR="000F45EC" w:rsidRPr="007E015D" w:rsidRDefault="000F45EC"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1. Потребности на региона в областта на търсенето на газ, включително потенциал за намаляване на търсенето чрез електроенергия; </w:t>
      </w:r>
    </w:p>
    <w:p w14:paraId="28715599" w14:textId="77777777" w:rsidR="000F45EC" w:rsidRPr="007E015D" w:rsidRDefault="000F45EC"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lastRenderedPageBreak/>
        <w:t xml:space="preserve">2. Инфраструктурни възможности и решаване на нерешени въпроси; </w:t>
      </w:r>
    </w:p>
    <w:p w14:paraId="1EEDA2F4" w14:textId="77777777" w:rsidR="000F45EC" w:rsidRPr="007E015D" w:rsidRDefault="000F45EC"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3. Възможности за доставка на газ. </w:t>
      </w:r>
    </w:p>
    <w:p w14:paraId="1D913259" w14:textId="77777777" w:rsidR="006A1393" w:rsidRPr="007E015D" w:rsidRDefault="000F45EC" w:rsidP="007E015D">
      <w:pPr>
        <w:spacing w:after="0" w:line="276" w:lineRule="auto"/>
        <w:ind w:firstLine="709"/>
        <w:jc w:val="both"/>
        <w:rPr>
          <w:rFonts w:ascii="Times New Roman" w:hAnsi="Times New Roman" w:cs="Times New Roman"/>
          <w:color w:val="FF0000"/>
          <w:sz w:val="24"/>
          <w:szCs w:val="24"/>
        </w:rPr>
      </w:pPr>
      <w:r w:rsidRPr="007E015D">
        <w:rPr>
          <w:rFonts w:ascii="Times New Roman" w:hAnsi="Times New Roman" w:cs="Times New Roman"/>
          <w:color w:val="000000"/>
          <w:sz w:val="24"/>
          <w:szCs w:val="24"/>
        </w:rPr>
        <w:t>След финализирането на плановете за действие на всички регионални групи основният акцент е обсъждането на потенциала за съвместни покупки във всеки регион.</w:t>
      </w:r>
    </w:p>
    <w:p w14:paraId="664553A6" w14:textId="77777777" w:rsidR="000F45EC" w:rsidRPr="007E015D" w:rsidRDefault="000F45EC"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Енергийната платформа на ЕС е инициирана през м. април 2022 г. На 19 декември 2022 г. беше приет Регламент (ЕС) 2022/2576 на Съвета за засилване на солидарността чрез по-добро координиране на закупуването на газ, трансграничния обмен на газ и надеждни референтни ценови показатели. Регламентът предоставя правна рамка за Енергийната платформа на ЕС за подпомагане на държавите членки в подготовката за зимата 2023/24 г. и по-специално за запълването на техните съоръжения за съхранение. </w:t>
      </w:r>
    </w:p>
    <w:p w14:paraId="0CA706E9" w14:textId="77777777" w:rsidR="000F45EC" w:rsidRPr="007E015D" w:rsidRDefault="000F45EC"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Енергийна платформа на ЕС е инициирана след мандат на Европейския съвет в отговор на необходимостта от диверсификация на доставките на газ от Русия. Обхваща редица действия по отношение на природния газ и втечнения природен газ (а в бъдеще и водорода) в подкрепа на сигурността на доставките и достъпа на ЕС до енергия на достъпни цени, включително международен обхват, обединяване на търсенето и ефективно използване на газовите инфраструктури на ЕС. </w:t>
      </w:r>
    </w:p>
    <w:p w14:paraId="7EC0D8EE" w14:textId="77777777" w:rsidR="000F45EC" w:rsidRPr="007E015D" w:rsidRDefault="000F45EC"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Платформата има за цел да координира действията и преговорите на ЕС с външните доставчици на газ, за да се предотврати взаимното наддаване между държавите от ЕС и да се използва тежестта на ЕС - като един от най-големите потребители на газ в света - за постигане на по-добри условия за всички потребители в ЕС. </w:t>
      </w:r>
    </w:p>
    <w:p w14:paraId="474F1CD2" w14:textId="77777777" w:rsidR="006A1393" w:rsidRPr="007E015D" w:rsidRDefault="000F45EC" w:rsidP="007E015D">
      <w:pPr>
        <w:spacing w:after="0" w:line="276" w:lineRule="auto"/>
        <w:ind w:firstLine="709"/>
        <w:jc w:val="both"/>
        <w:rPr>
          <w:rFonts w:ascii="Times New Roman" w:hAnsi="Times New Roman" w:cs="Times New Roman"/>
          <w:color w:val="FF0000"/>
          <w:sz w:val="24"/>
          <w:szCs w:val="24"/>
        </w:rPr>
      </w:pPr>
      <w:r w:rsidRPr="007E015D">
        <w:rPr>
          <w:rFonts w:ascii="Times New Roman" w:hAnsi="Times New Roman" w:cs="Times New Roman"/>
          <w:color w:val="000000"/>
          <w:sz w:val="24"/>
          <w:szCs w:val="24"/>
        </w:rPr>
        <w:t>Създадени са пет регионални групи, които да определят нуждите и възможностите за общо използване на енергийна инфраструктура и потенциалните нови доставчици. Стартира процесът по агрегиране на данни за необходимите количества газ, които да бъдат заявени за закупуване. Провеждат се редица срещи с представители на заинтересовани страни, включително индустрията, с цел приключване на процеса по агрегиране на данните през м. април и стартиране на съвместните покупки през м. май 2023 г.</w:t>
      </w:r>
    </w:p>
    <w:p w14:paraId="41116F98" w14:textId="77777777" w:rsidR="000F45EC" w:rsidRPr="007E015D" w:rsidRDefault="000F45EC"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Взимайки това предвид, целите, които си поставя България по отношение на енергийната сигурност са свързани с: </w:t>
      </w:r>
    </w:p>
    <w:p w14:paraId="54F2E2C0" w14:textId="77777777" w:rsidR="000F45EC" w:rsidRPr="007E015D" w:rsidRDefault="000F45EC" w:rsidP="00870284">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w:t>
      </w:r>
      <w:r w:rsidR="0040688C">
        <w:rPr>
          <w:rFonts w:ascii="Times New Roman" w:hAnsi="Times New Roman" w:cs="Times New Roman"/>
          <w:color w:val="000000"/>
          <w:sz w:val="24"/>
          <w:szCs w:val="24"/>
        </w:rPr>
        <w:t>д</w:t>
      </w:r>
      <w:r w:rsidRPr="007E015D">
        <w:rPr>
          <w:rFonts w:ascii="Times New Roman" w:hAnsi="Times New Roman" w:cs="Times New Roman"/>
          <w:color w:val="000000"/>
          <w:sz w:val="24"/>
          <w:szCs w:val="24"/>
        </w:rPr>
        <w:t xml:space="preserve">иверсификация на доставките на енергийни ресурси; </w:t>
      </w:r>
    </w:p>
    <w:p w14:paraId="04F1B300" w14:textId="77777777" w:rsidR="000F45EC" w:rsidRPr="007E015D" w:rsidRDefault="000F45EC" w:rsidP="00870284">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повишаване на гъвкавостта на националната енергийна система; </w:t>
      </w:r>
    </w:p>
    <w:p w14:paraId="476CB2E8" w14:textId="77777777" w:rsidR="000F45EC" w:rsidRPr="007E015D" w:rsidRDefault="000F45EC" w:rsidP="00870284">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предприемане на мерки относно ограничени или прекъснати доставки от даден енергиен източник с цел подобряване на устойчивостта на регионалните и националните енергийни системи; </w:t>
      </w:r>
    </w:p>
    <w:p w14:paraId="3018590E" w14:textId="77777777" w:rsidR="000F45EC" w:rsidRPr="007E015D" w:rsidRDefault="000F45EC" w:rsidP="00870284">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повишаване на мрежовата и информационна сигурност (киберсигурност). </w:t>
      </w:r>
    </w:p>
    <w:p w14:paraId="311D41B5" w14:textId="77777777" w:rsidR="006A1393" w:rsidRPr="00870284" w:rsidRDefault="006A1393" w:rsidP="007E015D">
      <w:pPr>
        <w:spacing w:after="0" w:line="276" w:lineRule="auto"/>
        <w:ind w:firstLine="709"/>
        <w:jc w:val="both"/>
        <w:rPr>
          <w:rFonts w:ascii="Times New Roman" w:hAnsi="Times New Roman" w:cs="Times New Roman"/>
          <w:sz w:val="24"/>
          <w:szCs w:val="24"/>
        </w:rPr>
      </w:pPr>
    </w:p>
    <w:p w14:paraId="4A6E8B81" w14:textId="77777777" w:rsidR="000F45EC" w:rsidRPr="00870284" w:rsidRDefault="000F45EC" w:rsidP="007E015D">
      <w:pPr>
        <w:autoSpaceDE w:val="0"/>
        <w:autoSpaceDN w:val="0"/>
        <w:adjustRightInd w:val="0"/>
        <w:spacing w:after="0" w:line="276" w:lineRule="auto"/>
        <w:ind w:firstLine="709"/>
        <w:jc w:val="both"/>
        <w:rPr>
          <w:rFonts w:ascii="Times New Roman" w:hAnsi="Times New Roman" w:cs="Times New Roman"/>
          <w:sz w:val="24"/>
          <w:szCs w:val="24"/>
        </w:rPr>
      </w:pPr>
      <w:r w:rsidRPr="00870284">
        <w:rPr>
          <w:rFonts w:ascii="Times New Roman" w:hAnsi="Times New Roman" w:cs="Times New Roman"/>
          <w:i/>
          <w:iCs/>
          <w:sz w:val="24"/>
          <w:szCs w:val="24"/>
        </w:rPr>
        <w:t xml:space="preserve">ii. Национални общи цели по отношение на увеличаване на диверсификацията на енергийните източници и доставките от трети държави с цел повишаване на устойчивостта на регионалните и националните енергийни системи </w:t>
      </w:r>
    </w:p>
    <w:p w14:paraId="0DEAAA09" w14:textId="77777777" w:rsidR="000F45EC" w:rsidRPr="007E015D" w:rsidRDefault="000F45EC" w:rsidP="00870284">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Диверсификация на източниците за доставки на природен газ чрез повишаване на междусистемната свързаност със съседни държави и доставки от: </w:t>
      </w:r>
    </w:p>
    <w:p w14:paraId="7E89CA65" w14:textId="77777777" w:rsidR="000F45EC" w:rsidRPr="00870284" w:rsidRDefault="000F45EC" w:rsidP="004F15F5">
      <w:pPr>
        <w:pStyle w:val="ListParagraph"/>
        <w:numPr>
          <w:ilvl w:val="0"/>
          <w:numId w:val="26"/>
        </w:numPr>
        <w:autoSpaceDE w:val="0"/>
        <w:autoSpaceDN w:val="0"/>
        <w:adjustRightInd w:val="0"/>
        <w:spacing w:after="0" w:line="276" w:lineRule="auto"/>
        <w:jc w:val="both"/>
        <w:rPr>
          <w:rFonts w:ascii="Times New Roman" w:hAnsi="Times New Roman" w:cs="Times New Roman"/>
          <w:color w:val="000000"/>
          <w:sz w:val="24"/>
          <w:szCs w:val="24"/>
        </w:rPr>
      </w:pPr>
      <w:r w:rsidRPr="00870284">
        <w:rPr>
          <w:rFonts w:ascii="Times New Roman" w:hAnsi="Times New Roman" w:cs="Times New Roman"/>
          <w:color w:val="000000"/>
          <w:sz w:val="24"/>
          <w:szCs w:val="24"/>
        </w:rPr>
        <w:lastRenderedPageBreak/>
        <w:t xml:space="preserve">Каспийския регион през Южен газов коридор; </w:t>
      </w:r>
    </w:p>
    <w:p w14:paraId="07268E90" w14:textId="77777777" w:rsidR="000F45EC" w:rsidRPr="00870284" w:rsidRDefault="000F45EC" w:rsidP="004F15F5">
      <w:pPr>
        <w:pStyle w:val="ListParagraph"/>
        <w:numPr>
          <w:ilvl w:val="0"/>
          <w:numId w:val="26"/>
        </w:numPr>
        <w:autoSpaceDE w:val="0"/>
        <w:autoSpaceDN w:val="0"/>
        <w:adjustRightInd w:val="0"/>
        <w:spacing w:after="0" w:line="276" w:lineRule="auto"/>
        <w:jc w:val="both"/>
        <w:rPr>
          <w:rFonts w:ascii="Times New Roman" w:hAnsi="Times New Roman" w:cs="Times New Roman"/>
          <w:color w:val="000000"/>
          <w:sz w:val="24"/>
          <w:szCs w:val="24"/>
        </w:rPr>
      </w:pPr>
      <w:r w:rsidRPr="00870284">
        <w:rPr>
          <w:rFonts w:ascii="Times New Roman" w:hAnsi="Times New Roman" w:cs="Times New Roman"/>
          <w:color w:val="000000"/>
          <w:sz w:val="24"/>
          <w:szCs w:val="24"/>
        </w:rPr>
        <w:t xml:space="preserve">На втечнен природен газ от региона на Средиземно море и други страни чрез терминал за втечнен природен газ. </w:t>
      </w:r>
    </w:p>
    <w:p w14:paraId="6D37E62E" w14:textId="77777777" w:rsidR="000F45EC" w:rsidRPr="007E015D" w:rsidRDefault="000F45EC" w:rsidP="00870284">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14865193" w14:textId="77777777" w:rsidR="000F45EC" w:rsidRPr="007E015D" w:rsidRDefault="000F45EC" w:rsidP="00870284">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За диверсификацията би допринесло и развитието на местния добив на природен газ чрез проучвания за нови находища на нефт и природен газ, в т.ч. и в дълбоко Черно море. </w:t>
      </w:r>
    </w:p>
    <w:p w14:paraId="7FF42660" w14:textId="77777777" w:rsidR="000F45EC" w:rsidRPr="007E015D" w:rsidRDefault="000F45EC" w:rsidP="00870284">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Целта на диверсификацията на доставките на свежо ядрено гориво е гарантиране на непрекъсната работа на ядрените мощности, както и на сигурността и надеждността на производството на електроенергия. </w:t>
      </w:r>
    </w:p>
    <w:p w14:paraId="547136FF" w14:textId="77777777" w:rsidR="000F45EC" w:rsidRPr="007E015D" w:rsidRDefault="000F45EC" w:rsidP="00870284">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Оползотворяване потенциала от възобновяеми енергийни източници като местен ресурс, който намалява зависимостта от внос, подобрява сигурността на енергоснабдяването и облекчава задълженията по опазване на околната среда. </w:t>
      </w:r>
    </w:p>
    <w:p w14:paraId="1657B3E0" w14:textId="77777777" w:rsidR="00870284" w:rsidRPr="00870284" w:rsidRDefault="00870284" w:rsidP="007E015D">
      <w:pPr>
        <w:autoSpaceDE w:val="0"/>
        <w:autoSpaceDN w:val="0"/>
        <w:adjustRightInd w:val="0"/>
        <w:spacing w:after="0" w:line="276" w:lineRule="auto"/>
        <w:ind w:firstLine="709"/>
        <w:jc w:val="both"/>
        <w:rPr>
          <w:rFonts w:ascii="Times New Roman" w:hAnsi="Times New Roman" w:cs="Times New Roman"/>
          <w:i/>
          <w:iCs/>
          <w:sz w:val="24"/>
          <w:szCs w:val="24"/>
        </w:rPr>
      </w:pPr>
    </w:p>
    <w:p w14:paraId="3D9C46AE" w14:textId="77777777" w:rsidR="000F45EC" w:rsidRPr="00870284" w:rsidRDefault="000F45EC" w:rsidP="007E015D">
      <w:pPr>
        <w:autoSpaceDE w:val="0"/>
        <w:autoSpaceDN w:val="0"/>
        <w:adjustRightInd w:val="0"/>
        <w:spacing w:after="0" w:line="276" w:lineRule="auto"/>
        <w:ind w:firstLine="709"/>
        <w:jc w:val="both"/>
        <w:rPr>
          <w:rFonts w:ascii="Times New Roman" w:hAnsi="Times New Roman" w:cs="Times New Roman"/>
          <w:sz w:val="24"/>
          <w:szCs w:val="24"/>
        </w:rPr>
      </w:pPr>
      <w:r w:rsidRPr="00870284">
        <w:rPr>
          <w:rFonts w:ascii="Times New Roman" w:hAnsi="Times New Roman" w:cs="Times New Roman"/>
          <w:i/>
          <w:iCs/>
          <w:sz w:val="24"/>
          <w:szCs w:val="24"/>
        </w:rPr>
        <w:t xml:space="preserve">iii. Когато е приложимо, национални общи цели по отношение на намаляването на зависимостта от внос на енергия от трети държави, за да се повиши устойчивостта на регионалните и националните енергийни системи </w:t>
      </w:r>
    </w:p>
    <w:p w14:paraId="2F5064CB" w14:textId="77777777" w:rsidR="000F45EC" w:rsidRPr="00870284" w:rsidRDefault="000F45EC" w:rsidP="007E015D">
      <w:pPr>
        <w:autoSpaceDE w:val="0"/>
        <w:autoSpaceDN w:val="0"/>
        <w:adjustRightInd w:val="0"/>
        <w:spacing w:after="0" w:line="276" w:lineRule="auto"/>
        <w:ind w:firstLine="709"/>
        <w:jc w:val="both"/>
        <w:rPr>
          <w:rFonts w:ascii="Times New Roman" w:hAnsi="Times New Roman" w:cs="Times New Roman"/>
          <w:sz w:val="24"/>
          <w:szCs w:val="24"/>
        </w:rPr>
      </w:pPr>
      <w:r w:rsidRPr="00870284">
        <w:rPr>
          <w:rFonts w:ascii="Times New Roman" w:hAnsi="Times New Roman" w:cs="Times New Roman"/>
          <w:sz w:val="24"/>
          <w:szCs w:val="24"/>
        </w:rPr>
        <w:t xml:space="preserve">Повишаването на устойчивостта на националната енергийна система е свързано с диверсификацията на източниците и маршрутите на природен газ. В тази връзка България изпълнява редица проекти от общ интерес на ЕС. </w:t>
      </w:r>
    </w:p>
    <w:p w14:paraId="3A378295" w14:textId="77777777" w:rsidR="00870284" w:rsidRPr="00870284" w:rsidRDefault="00870284" w:rsidP="007E015D">
      <w:pPr>
        <w:autoSpaceDE w:val="0"/>
        <w:autoSpaceDN w:val="0"/>
        <w:adjustRightInd w:val="0"/>
        <w:spacing w:after="0" w:line="276" w:lineRule="auto"/>
        <w:ind w:firstLine="709"/>
        <w:jc w:val="both"/>
        <w:rPr>
          <w:rFonts w:ascii="Times New Roman" w:hAnsi="Times New Roman" w:cs="Times New Roman"/>
          <w:i/>
          <w:iCs/>
          <w:sz w:val="24"/>
          <w:szCs w:val="24"/>
        </w:rPr>
      </w:pPr>
    </w:p>
    <w:p w14:paraId="7E9968DD" w14:textId="77777777" w:rsidR="000F45EC" w:rsidRPr="00870284" w:rsidRDefault="000F45EC" w:rsidP="00870284">
      <w:pPr>
        <w:autoSpaceDE w:val="0"/>
        <w:autoSpaceDN w:val="0"/>
        <w:adjustRightInd w:val="0"/>
        <w:spacing w:after="0" w:line="276" w:lineRule="auto"/>
        <w:ind w:firstLine="709"/>
        <w:jc w:val="both"/>
        <w:rPr>
          <w:rFonts w:ascii="Times New Roman" w:hAnsi="Times New Roman" w:cs="Times New Roman"/>
          <w:sz w:val="24"/>
          <w:szCs w:val="24"/>
        </w:rPr>
      </w:pPr>
      <w:r w:rsidRPr="00870284">
        <w:rPr>
          <w:rFonts w:ascii="Times New Roman" w:hAnsi="Times New Roman" w:cs="Times New Roman"/>
          <w:i/>
          <w:iCs/>
          <w:sz w:val="24"/>
          <w:szCs w:val="24"/>
        </w:rPr>
        <w:t xml:space="preserve">iv. Национални общи цели по отношение на увеличаването на гъвкавостта на националната енергийна система, по-специално посредством използването на собствени енергийни източници, оптимизацията на потреблението и съхранение на енергия </w:t>
      </w:r>
    </w:p>
    <w:p w14:paraId="5E58E536" w14:textId="77777777" w:rsidR="006A1393" w:rsidRPr="00C12E60" w:rsidRDefault="000F45EC" w:rsidP="00870284">
      <w:pPr>
        <w:spacing w:after="0" w:line="276" w:lineRule="auto"/>
        <w:ind w:firstLine="709"/>
        <w:jc w:val="both"/>
        <w:rPr>
          <w:rFonts w:ascii="Times New Roman" w:hAnsi="Times New Roman" w:cs="Times New Roman"/>
          <w:sz w:val="24"/>
          <w:szCs w:val="24"/>
        </w:rPr>
      </w:pPr>
      <w:r w:rsidRPr="00870284">
        <w:rPr>
          <w:rFonts w:ascii="Times New Roman" w:hAnsi="Times New Roman" w:cs="Times New Roman"/>
          <w:sz w:val="24"/>
          <w:szCs w:val="24"/>
        </w:rPr>
        <w:t>Цели по</w:t>
      </w:r>
      <w:r w:rsidRPr="007E015D">
        <w:rPr>
          <w:rFonts w:ascii="Times New Roman" w:hAnsi="Times New Roman" w:cs="Times New Roman"/>
          <w:color w:val="000000"/>
          <w:sz w:val="24"/>
          <w:szCs w:val="24"/>
        </w:rPr>
        <w:t xml:space="preserve"> отношение на увеличаване на гъвкавостта на националната енергийна система:</w:t>
      </w:r>
    </w:p>
    <w:p w14:paraId="135E3D6F" w14:textId="77777777" w:rsidR="000F45EC" w:rsidRPr="007E015D" w:rsidRDefault="000F45EC" w:rsidP="00870284">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Запазването ролята на местните енергийни ресурси (въглища) и използването им, в съответствие с изискванията на екологичното законодателство; </w:t>
      </w:r>
    </w:p>
    <w:p w14:paraId="2167859F" w14:textId="77777777" w:rsidR="000F45EC" w:rsidRPr="007E015D" w:rsidRDefault="000F45EC" w:rsidP="00870284">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Запазване ролята на ядрената енергия, която се счита за местен енергиен източник; </w:t>
      </w:r>
    </w:p>
    <w:p w14:paraId="1B7DE461" w14:textId="77777777" w:rsidR="000F45EC" w:rsidRPr="007E015D" w:rsidRDefault="000F45EC" w:rsidP="00870284">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Поддържане и развитие на преносната способност на мрежите за пренос на електрическа енергия и природен газ; </w:t>
      </w:r>
    </w:p>
    <w:p w14:paraId="47AF18E2" w14:textId="77777777" w:rsidR="000F45EC" w:rsidRPr="007E015D" w:rsidRDefault="000F45EC" w:rsidP="00870284">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Оптимизация на потреблението в енергийната система чрез развитие на енергийните пазари; </w:t>
      </w:r>
    </w:p>
    <w:p w14:paraId="235A600F" w14:textId="77777777" w:rsidR="000F45EC" w:rsidRPr="007E015D" w:rsidRDefault="000F45EC" w:rsidP="00870284">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Увеличаване на капацитета за съхранение на електрическа енергия и природен газ чрез развитие на съществуващите и изграждане на нови съоръжения за съхранение. </w:t>
      </w:r>
    </w:p>
    <w:p w14:paraId="5D23DDA3" w14:textId="77777777" w:rsidR="000F45EC" w:rsidRDefault="000F45EC"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В периода от 2023 г. до 2030 г. се предвижда да бъдат въведени мерки, свързани с развитието и цифровизацията на енергийната инфраструктура, подкрепа за интегрирането в електроенергийните мрежи на електрическата енергия, произведена от възобновяеми източници, както и от по-широкото използване на интелигентни системи за съхранение на енергия. Реализирането на такива мерки ще доведе до по-пълното използване на </w:t>
      </w:r>
      <w:r w:rsidRPr="007E015D">
        <w:rPr>
          <w:rFonts w:ascii="Times New Roman" w:hAnsi="Times New Roman" w:cs="Times New Roman"/>
          <w:color w:val="000000"/>
          <w:sz w:val="24"/>
          <w:szCs w:val="24"/>
        </w:rPr>
        <w:lastRenderedPageBreak/>
        <w:t xml:space="preserve">електрическата енергия, произведена от възобновяеми източници, благодарение на нейното по-лесно интегриране в електроенергийната система. </w:t>
      </w:r>
    </w:p>
    <w:p w14:paraId="43FAAD47" w14:textId="77777777" w:rsidR="00870284" w:rsidRPr="007E015D" w:rsidRDefault="00870284"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02D64853" w14:textId="77777777" w:rsidR="000F45EC" w:rsidRPr="00870284" w:rsidRDefault="00870284" w:rsidP="00870284">
      <w:pPr>
        <w:shd w:val="clear" w:color="auto" w:fill="F7CAAC" w:themeFill="accent2" w:themeFillTint="66"/>
        <w:autoSpaceDE w:val="0"/>
        <w:autoSpaceDN w:val="0"/>
        <w:adjustRightInd w:val="0"/>
        <w:spacing w:after="0" w:line="276"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1.</w:t>
      </w:r>
      <w:r w:rsidR="000F45EC" w:rsidRPr="00870284">
        <w:rPr>
          <w:rFonts w:ascii="Times New Roman" w:hAnsi="Times New Roman" w:cs="Times New Roman"/>
          <w:b/>
          <w:bCs/>
          <w:sz w:val="24"/>
          <w:szCs w:val="24"/>
        </w:rPr>
        <w:t>2.</w:t>
      </w:r>
      <w:r>
        <w:rPr>
          <w:rFonts w:ascii="Times New Roman" w:hAnsi="Times New Roman" w:cs="Times New Roman"/>
          <w:b/>
          <w:bCs/>
          <w:sz w:val="24"/>
          <w:szCs w:val="24"/>
        </w:rPr>
        <w:t>1.</w:t>
      </w:r>
      <w:r w:rsidR="000F45EC" w:rsidRPr="00870284">
        <w:rPr>
          <w:rFonts w:ascii="Times New Roman" w:hAnsi="Times New Roman" w:cs="Times New Roman"/>
          <w:b/>
          <w:bCs/>
          <w:sz w:val="24"/>
          <w:szCs w:val="24"/>
        </w:rPr>
        <w:t xml:space="preserve">4. Измерение „Вътрешен енергиен пазар“ </w:t>
      </w:r>
    </w:p>
    <w:p w14:paraId="71A14F39" w14:textId="77777777" w:rsidR="006A1393" w:rsidRPr="00870284" w:rsidRDefault="000F45EC" w:rsidP="007E015D">
      <w:pPr>
        <w:spacing w:after="0" w:line="276" w:lineRule="auto"/>
        <w:ind w:firstLine="709"/>
        <w:jc w:val="both"/>
        <w:rPr>
          <w:rFonts w:ascii="Times New Roman" w:hAnsi="Times New Roman" w:cs="Times New Roman"/>
          <w:b/>
          <w:sz w:val="24"/>
          <w:szCs w:val="24"/>
          <w:u w:val="single"/>
        </w:rPr>
      </w:pPr>
      <w:r w:rsidRPr="00870284">
        <w:rPr>
          <w:rFonts w:ascii="Times New Roman" w:hAnsi="Times New Roman" w:cs="Times New Roman"/>
          <w:b/>
          <w:sz w:val="24"/>
          <w:szCs w:val="24"/>
          <w:u w:val="single"/>
        </w:rPr>
        <w:t>Междусистемна електроенергийна свързаност</w:t>
      </w:r>
    </w:p>
    <w:p w14:paraId="54692AF4" w14:textId="77777777" w:rsidR="00357377" w:rsidRPr="00870284" w:rsidRDefault="00357377" w:rsidP="007E015D">
      <w:pPr>
        <w:autoSpaceDE w:val="0"/>
        <w:autoSpaceDN w:val="0"/>
        <w:adjustRightInd w:val="0"/>
        <w:spacing w:after="0" w:line="276" w:lineRule="auto"/>
        <w:ind w:firstLine="709"/>
        <w:jc w:val="both"/>
        <w:rPr>
          <w:rFonts w:ascii="Times New Roman" w:hAnsi="Times New Roman" w:cs="Times New Roman"/>
          <w:sz w:val="24"/>
          <w:szCs w:val="24"/>
        </w:rPr>
      </w:pPr>
      <w:r w:rsidRPr="00870284">
        <w:rPr>
          <w:rFonts w:ascii="Times New Roman" w:hAnsi="Times New Roman" w:cs="Times New Roman"/>
          <w:i/>
          <w:iCs/>
          <w:sz w:val="24"/>
          <w:szCs w:val="24"/>
        </w:rPr>
        <w:t xml:space="preserve">i. Нивото на междусистемна електроенергийна свързаност, което е определено от държавите членки като цел за 2030 г., като се отчита целта за 2030 г. за междусистемна електроенергийна свързаност от поне 15%, със стратегия с равнището от 2021 г. нататък, определено в тясно сътрудничество със засегнатите държави членки, като се отчита целта за 2020 г. за междусистемна електроенергийна свързаност от 10% и следните показатели за спешността на действие: </w:t>
      </w:r>
    </w:p>
    <w:p w14:paraId="61A1BD1D" w14:textId="77777777" w:rsidR="00357377" w:rsidRPr="00870284" w:rsidRDefault="00357377" w:rsidP="007E015D">
      <w:pPr>
        <w:autoSpaceDE w:val="0"/>
        <w:autoSpaceDN w:val="0"/>
        <w:adjustRightInd w:val="0"/>
        <w:spacing w:after="0" w:line="276" w:lineRule="auto"/>
        <w:ind w:firstLine="709"/>
        <w:jc w:val="both"/>
        <w:rPr>
          <w:rFonts w:ascii="Times New Roman" w:hAnsi="Times New Roman" w:cs="Times New Roman"/>
          <w:sz w:val="24"/>
          <w:szCs w:val="24"/>
        </w:rPr>
      </w:pPr>
      <w:r w:rsidRPr="00870284">
        <w:rPr>
          <w:rFonts w:ascii="Times New Roman" w:hAnsi="Times New Roman" w:cs="Times New Roman"/>
          <w:sz w:val="24"/>
          <w:szCs w:val="24"/>
        </w:rPr>
        <w:t xml:space="preserve">1) Разликата в цените на пазара на едро, превишаваща индикативен праг от 2 евро/мегават час между държавите членки, регионите или тръжните зони; </w:t>
      </w:r>
    </w:p>
    <w:p w14:paraId="14E0DFA6" w14:textId="77777777" w:rsidR="00357377" w:rsidRPr="00870284" w:rsidRDefault="00357377" w:rsidP="007E015D">
      <w:pPr>
        <w:autoSpaceDE w:val="0"/>
        <w:autoSpaceDN w:val="0"/>
        <w:adjustRightInd w:val="0"/>
        <w:spacing w:after="0" w:line="276" w:lineRule="auto"/>
        <w:ind w:firstLine="709"/>
        <w:jc w:val="both"/>
        <w:rPr>
          <w:rFonts w:ascii="Times New Roman" w:hAnsi="Times New Roman" w:cs="Times New Roman"/>
          <w:sz w:val="24"/>
          <w:szCs w:val="24"/>
        </w:rPr>
      </w:pPr>
      <w:r w:rsidRPr="00870284">
        <w:rPr>
          <w:rFonts w:ascii="Times New Roman" w:hAnsi="Times New Roman" w:cs="Times New Roman"/>
          <w:sz w:val="24"/>
          <w:szCs w:val="24"/>
        </w:rPr>
        <w:t xml:space="preserve">2) Номинален капацитет за пренос на междусистемните електропроводи под 30% от върховото натоварване; </w:t>
      </w:r>
    </w:p>
    <w:p w14:paraId="11F09C2E" w14:textId="77777777" w:rsidR="00357377" w:rsidRPr="00870284" w:rsidRDefault="00357377" w:rsidP="007E015D">
      <w:pPr>
        <w:autoSpaceDE w:val="0"/>
        <w:autoSpaceDN w:val="0"/>
        <w:adjustRightInd w:val="0"/>
        <w:spacing w:after="0" w:line="276" w:lineRule="auto"/>
        <w:ind w:firstLine="709"/>
        <w:jc w:val="both"/>
        <w:rPr>
          <w:rFonts w:ascii="Times New Roman" w:hAnsi="Times New Roman" w:cs="Times New Roman"/>
          <w:sz w:val="24"/>
          <w:szCs w:val="24"/>
        </w:rPr>
      </w:pPr>
      <w:r w:rsidRPr="00870284">
        <w:rPr>
          <w:rFonts w:ascii="Times New Roman" w:hAnsi="Times New Roman" w:cs="Times New Roman"/>
          <w:sz w:val="24"/>
          <w:szCs w:val="24"/>
        </w:rPr>
        <w:t xml:space="preserve">3) Номинален капацитет за пренос на междусистемните електропроводи под 30% от инсталираното производство от възобновяеми източници. </w:t>
      </w:r>
    </w:p>
    <w:p w14:paraId="56A43F04" w14:textId="77777777" w:rsidR="00357377" w:rsidRPr="00870284" w:rsidRDefault="00357377" w:rsidP="007E015D">
      <w:pPr>
        <w:autoSpaceDE w:val="0"/>
        <w:autoSpaceDN w:val="0"/>
        <w:adjustRightInd w:val="0"/>
        <w:spacing w:after="0" w:line="276" w:lineRule="auto"/>
        <w:ind w:firstLine="709"/>
        <w:jc w:val="both"/>
        <w:rPr>
          <w:rFonts w:ascii="Times New Roman" w:hAnsi="Times New Roman" w:cs="Times New Roman"/>
          <w:sz w:val="24"/>
          <w:szCs w:val="24"/>
        </w:rPr>
      </w:pPr>
      <w:r w:rsidRPr="00870284">
        <w:rPr>
          <w:rFonts w:ascii="Times New Roman" w:hAnsi="Times New Roman" w:cs="Times New Roman"/>
          <w:i/>
          <w:iCs/>
          <w:sz w:val="24"/>
          <w:szCs w:val="24"/>
        </w:rPr>
        <w:t xml:space="preserve">Всеки нов междусистемен електропровод се подлага на социално-икономически и екологичен анализ на разходите и ползите и се реализира само ако потенциалните ползи надхвърлят разходите. </w:t>
      </w:r>
    </w:p>
    <w:p w14:paraId="76126008" w14:textId="77777777" w:rsidR="00357377" w:rsidRPr="007E015D" w:rsidRDefault="00357377" w:rsidP="007E015D">
      <w:pPr>
        <w:pStyle w:val="Default"/>
        <w:spacing w:line="276" w:lineRule="auto"/>
        <w:ind w:firstLine="709"/>
        <w:jc w:val="both"/>
        <w:rPr>
          <w:lang w:val="bg-BG"/>
        </w:rPr>
      </w:pPr>
      <w:r w:rsidRPr="007E015D">
        <w:t xml:space="preserve">Съгласно европейското законодателство, равнището на междусистемна електроенергийна свързаност за всяка държава членка трябва да бъде поне 10% до 2020 г. и поне 15% до 2030 г., спрямо инсталираните мощности. Максималното ниво на капацитет на междусистемните електропроводи и мрежовите елементи следва да бъде предоставено, като се спазват стандартите за безопасност, за сигурна </w:t>
      </w:r>
      <w:r w:rsidRPr="007E015D">
        <w:rPr>
          <w:lang w:val="bg-BG"/>
        </w:rPr>
        <w:t xml:space="preserve">експлоатация на мрежата, включително при спазване на стандарта за сигурност при извънредни ситуации В съответствие с европейските препоръки, България е определила цел от най-малко 15% междусистемна електроенергийна свързаност. Тази цел ще бъде постигната чрез реализиране на проекти от общ интерес и допълнителни инициативи. </w:t>
      </w:r>
    </w:p>
    <w:p w14:paraId="39FAFC1B"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Съгласно изискванията на Регламент (ЕС) 1999/2018, в стратегията за междусистемна свързаност, като допълнение към европейската цел за междусистемна свързаност, следва да се съобразят три индикатора за спешни действия в тази област. </w:t>
      </w:r>
    </w:p>
    <w:p w14:paraId="6CA6728B" w14:textId="77777777" w:rsidR="006A1393" w:rsidRPr="007E015D" w:rsidRDefault="00357377" w:rsidP="007E015D">
      <w:pPr>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Номиналният преносен капацитет на междусистемните електропроводи трябва да бъде поне 30% от върховия товар.</w:t>
      </w:r>
    </w:p>
    <w:p w14:paraId="48853D6D" w14:textId="77777777" w:rsidR="006A1393" w:rsidRPr="007E015D" w:rsidRDefault="00357377" w:rsidP="00C341C8">
      <w:pPr>
        <w:spacing w:after="0" w:line="276" w:lineRule="auto"/>
        <w:jc w:val="center"/>
        <w:rPr>
          <w:rFonts w:ascii="Times New Roman" w:hAnsi="Times New Roman" w:cs="Times New Roman"/>
          <w:color w:val="FF0000"/>
          <w:sz w:val="24"/>
          <w:szCs w:val="24"/>
        </w:rPr>
      </w:pPr>
      <w:r w:rsidRPr="007E015D">
        <w:rPr>
          <w:rFonts w:ascii="Times New Roman" w:hAnsi="Times New Roman" w:cs="Times New Roman"/>
          <w:noProof/>
          <w:color w:val="FF0000"/>
          <w:sz w:val="24"/>
          <w:szCs w:val="24"/>
          <w:lang w:eastAsia="bg-BG"/>
        </w:rPr>
        <w:lastRenderedPageBreak/>
        <w:drawing>
          <wp:inline distT="0" distB="0" distL="0" distR="0" wp14:anchorId="2BC1932D" wp14:editId="3C37EB42">
            <wp:extent cx="5146912" cy="2941093"/>
            <wp:effectExtent l="19050" t="0" r="0" b="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153078" cy="2944616"/>
                    </a:xfrm>
                    <a:prstGeom prst="rect">
                      <a:avLst/>
                    </a:prstGeom>
                    <a:noFill/>
                    <a:ln w="9525">
                      <a:noFill/>
                      <a:miter lim="800000"/>
                      <a:headEnd/>
                      <a:tailEnd/>
                    </a:ln>
                  </pic:spPr>
                </pic:pic>
              </a:graphicData>
            </a:graphic>
          </wp:inline>
        </w:drawing>
      </w:r>
    </w:p>
    <w:p w14:paraId="3A924D0C" w14:textId="77777777" w:rsidR="00357377" w:rsidRDefault="00C341C8" w:rsidP="00C341C8">
      <w:pPr>
        <w:spacing w:after="0" w:line="276" w:lineRule="auto"/>
        <w:jc w:val="center"/>
        <w:rPr>
          <w:rFonts w:ascii="Times New Roman" w:hAnsi="Times New Roman" w:cs="Times New Roman"/>
          <w:i/>
          <w:iCs/>
          <w:color w:val="000000"/>
          <w:sz w:val="24"/>
          <w:szCs w:val="24"/>
        </w:rPr>
      </w:pPr>
      <w:r w:rsidRPr="007E015D">
        <w:rPr>
          <w:rFonts w:ascii="Times New Roman" w:hAnsi="Times New Roman" w:cs="Times New Roman"/>
          <w:b/>
          <w:bCs/>
          <w:i/>
          <w:iCs/>
          <w:sz w:val="24"/>
          <w:szCs w:val="24"/>
        </w:rPr>
        <w:t>Фигура</w:t>
      </w:r>
      <w:r>
        <w:rPr>
          <w:rFonts w:ascii="Times New Roman" w:hAnsi="Times New Roman" w:cs="Times New Roman"/>
          <w:b/>
          <w:bCs/>
          <w:i/>
          <w:iCs/>
          <w:sz w:val="24"/>
          <w:szCs w:val="24"/>
        </w:rPr>
        <w:t xml:space="preserve"> № 1. 2.1.4-1. </w:t>
      </w:r>
      <w:r w:rsidRPr="007E015D">
        <w:rPr>
          <w:rFonts w:ascii="Times New Roman" w:hAnsi="Times New Roman" w:cs="Times New Roman"/>
          <w:i/>
          <w:iCs/>
          <w:sz w:val="24"/>
          <w:szCs w:val="24"/>
        </w:rPr>
        <w:t>Междусистемна свързаност</w:t>
      </w:r>
      <w:r>
        <w:rPr>
          <w:rFonts w:ascii="Times New Roman" w:hAnsi="Times New Roman" w:cs="Times New Roman"/>
          <w:color w:val="FF0000"/>
          <w:sz w:val="24"/>
          <w:szCs w:val="24"/>
        </w:rPr>
        <w:t xml:space="preserve">, </w:t>
      </w:r>
      <w:r w:rsidR="00357377" w:rsidRPr="007E015D">
        <w:rPr>
          <w:rFonts w:ascii="Times New Roman" w:hAnsi="Times New Roman" w:cs="Times New Roman"/>
          <w:i/>
          <w:iCs/>
          <w:color w:val="000000"/>
          <w:sz w:val="24"/>
          <w:szCs w:val="24"/>
        </w:rPr>
        <w:t>Източник: ЕСО ЕАД</w:t>
      </w:r>
    </w:p>
    <w:p w14:paraId="19A2A605" w14:textId="77777777" w:rsidR="00C341C8" w:rsidRPr="00C12E60" w:rsidRDefault="00C341C8" w:rsidP="00C341C8">
      <w:pPr>
        <w:spacing w:after="0" w:line="276" w:lineRule="auto"/>
        <w:ind w:firstLine="709"/>
        <w:jc w:val="both"/>
        <w:rPr>
          <w:rFonts w:ascii="Times New Roman" w:hAnsi="Times New Roman" w:cs="Times New Roman"/>
          <w:sz w:val="24"/>
          <w:szCs w:val="24"/>
        </w:rPr>
      </w:pPr>
    </w:p>
    <w:p w14:paraId="0FC7CD6F"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Номиналният преносен капацитет на междусистемните електропроводи да бъде поне 30% от инсталираното производство от възобновяеми източници. </w:t>
      </w:r>
    </w:p>
    <w:p w14:paraId="7F20D6F7"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По информация на електропреносния системен оператор данните са следните: </w:t>
      </w:r>
    </w:p>
    <w:p w14:paraId="29E3B20D"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7 126 MW – прогнозна инсталирана производствена мощност от ВИ за 2030 г.; </w:t>
      </w:r>
    </w:p>
    <w:p w14:paraId="1F325AFE"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12 320 13 820 MW - общ номинален преносен капацитет на междусистемните електропроводи, което е 194% спрямо инсталирана производствена мощност от ВИ. </w:t>
      </w:r>
    </w:p>
    <w:p w14:paraId="69D97393"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5633BC2C"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Трябва да се има предвид, че номиналната преносна способност на електропровод 400 kV с проводници 2xACO500 е 1 200 MW, а при проводници 3xACO400 е 1 280 MW (при отчитане преносната способност на всички тоководещи елементи на електропровода и среден фактор на мощността 0.93). </w:t>
      </w:r>
    </w:p>
    <w:p w14:paraId="19C6C1CC" w14:textId="77777777" w:rsidR="00357377" w:rsidRPr="007E015D" w:rsidRDefault="00357377" w:rsidP="007E015D">
      <w:pPr>
        <w:pStyle w:val="Default"/>
        <w:spacing w:line="276" w:lineRule="auto"/>
        <w:ind w:firstLine="709"/>
        <w:jc w:val="both"/>
        <w:rPr>
          <w:lang w:val="bg-BG"/>
        </w:rPr>
      </w:pPr>
      <w:r w:rsidRPr="007E015D">
        <w:t xml:space="preserve">Българската ЕЕС работи в паралел с ЕЕС на страните от континентална Европа. Свързаността на нашата ЕЕС с обединената европейска ЕЕС се осъществява чрез </w:t>
      </w:r>
      <w:r w:rsidRPr="007E015D">
        <w:rPr>
          <w:lang w:val="bg-BG"/>
        </w:rPr>
        <w:t xml:space="preserve">четири междусистемни електропровода с Румъния, два с Турция и Гърция и по един със Сърбия и Република Северна Македония, както следва: </w:t>
      </w:r>
    </w:p>
    <w:p w14:paraId="79057277"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ЕП 400 kV АЕЦ Козлодуй (BG) – п/ст Цънцарени (RO); </w:t>
      </w:r>
    </w:p>
    <w:p w14:paraId="61054ABF"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ЕП 400 kV АЕЦ Козлодуй (BG) – п/ст Цънцарени (RO); </w:t>
      </w:r>
    </w:p>
    <w:p w14:paraId="2311639F"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ЕП 400 kV п/ст Варна (BG) – п/ст Ступина (RO); </w:t>
      </w:r>
    </w:p>
    <w:p w14:paraId="6D278341"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ЕП 400 kV п/ст Добруджа (BG) – п/ст Рахман (RO); </w:t>
      </w:r>
    </w:p>
    <w:p w14:paraId="1FE3532B"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ЕП 400 kV ТЕЦ „Марица Изток 3“ (BG) – п/ст Хамитабат (TR); </w:t>
      </w:r>
    </w:p>
    <w:p w14:paraId="6EFA6A84"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ЕП 400 kV ТЕЦ „Марица Изток 3“ (BG) – п/ст Хамитабат (TR). </w:t>
      </w:r>
    </w:p>
    <w:p w14:paraId="17D53840"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ЕП 400 kV п/ст София запад (BG) – п/ст Ниш (RS); </w:t>
      </w:r>
    </w:p>
    <w:p w14:paraId="69DBB11C"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ЕП 400 kV п/ст Червена могила (BG) – п/ст Щип (MK); </w:t>
      </w:r>
    </w:p>
    <w:p w14:paraId="2C26726A"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lastRenderedPageBreak/>
        <w:t xml:space="preserve">• ЕП 400 kV п/ст Благоевград (BG) – п/ст Солун (GR). </w:t>
      </w:r>
    </w:p>
    <w:p w14:paraId="5A000DEB"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ЕП 400 kV п/ст „Марица Изток“, България –п/ст „Неа Санта“, Гърция. </w:t>
      </w:r>
    </w:p>
    <w:p w14:paraId="4F22E02A" w14:textId="77777777" w:rsidR="00C341C8" w:rsidRDefault="00C341C8" w:rsidP="007E015D">
      <w:pPr>
        <w:autoSpaceDE w:val="0"/>
        <w:autoSpaceDN w:val="0"/>
        <w:adjustRightInd w:val="0"/>
        <w:spacing w:after="0" w:line="276" w:lineRule="auto"/>
        <w:ind w:firstLine="709"/>
        <w:jc w:val="both"/>
        <w:rPr>
          <w:rFonts w:ascii="Times New Roman" w:hAnsi="Times New Roman" w:cs="Times New Roman"/>
          <w:color w:val="365F91"/>
          <w:sz w:val="24"/>
          <w:szCs w:val="24"/>
        </w:rPr>
      </w:pPr>
    </w:p>
    <w:p w14:paraId="07FE8566" w14:textId="77777777" w:rsidR="00357377" w:rsidRPr="00C341C8" w:rsidRDefault="00357377" w:rsidP="007E015D">
      <w:pPr>
        <w:autoSpaceDE w:val="0"/>
        <w:autoSpaceDN w:val="0"/>
        <w:adjustRightInd w:val="0"/>
        <w:spacing w:after="0" w:line="276" w:lineRule="auto"/>
        <w:ind w:firstLine="709"/>
        <w:jc w:val="both"/>
        <w:rPr>
          <w:rFonts w:ascii="Times New Roman" w:hAnsi="Times New Roman" w:cs="Times New Roman"/>
          <w:b/>
          <w:sz w:val="24"/>
          <w:szCs w:val="24"/>
          <w:u w:val="single"/>
        </w:rPr>
      </w:pPr>
      <w:r w:rsidRPr="00C341C8">
        <w:rPr>
          <w:rFonts w:ascii="Times New Roman" w:hAnsi="Times New Roman" w:cs="Times New Roman"/>
          <w:b/>
          <w:sz w:val="24"/>
          <w:szCs w:val="24"/>
          <w:u w:val="single"/>
        </w:rPr>
        <w:t xml:space="preserve">Електропреносна и газопреносна инфраструктура </w:t>
      </w:r>
    </w:p>
    <w:p w14:paraId="4A50613C" w14:textId="77777777" w:rsidR="00357377" w:rsidRPr="00C341C8" w:rsidRDefault="00357377" w:rsidP="007E015D">
      <w:pPr>
        <w:autoSpaceDE w:val="0"/>
        <w:autoSpaceDN w:val="0"/>
        <w:adjustRightInd w:val="0"/>
        <w:spacing w:after="0" w:line="276" w:lineRule="auto"/>
        <w:ind w:firstLine="709"/>
        <w:jc w:val="both"/>
        <w:rPr>
          <w:rFonts w:ascii="Times New Roman" w:hAnsi="Times New Roman" w:cs="Times New Roman"/>
          <w:sz w:val="24"/>
          <w:szCs w:val="24"/>
        </w:rPr>
      </w:pPr>
      <w:r w:rsidRPr="00C341C8">
        <w:rPr>
          <w:rFonts w:ascii="Times New Roman" w:hAnsi="Times New Roman" w:cs="Times New Roman"/>
          <w:i/>
          <w:iCs/>
          <w:sz w:val="24"/>
          <w:szCs w:val="24"/>
        </w:rPr>
        <w:t xml:space="preserve">i. Основните проекти в областта на електропреносната и газопреносната инфраструктура и, по целесъобразност, проекти за модернизиране, които са необходими за постигането на общите и конкретните цели по петте измерения на стратегията за Енергийния съюз </w:t>
      </w:r>
    </w:p>
    <w:p w14:paraId="08AF2A12"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Основните проекти в областта на електропреносната и газопреносната инфраструктура и проекти за модернизация са: </w:t>
      </w:r>
    </w:p>
    <w:p w14:paraId="42ED9DE6" w14:textId="77777777" w:rsidR="00357377" w:rsidRPr="0040688C" w:rsidRDefault="00357377" w:rsidP="00C341C8">
      <w:pPr>
        <w:autoSpaceDE w:val="0"/>
        <w:autoSpaceDN w:val="0"/>
        <w:adjustRightInd w:val="0"/>
        <w:spacing w:after="0" w:line="276" w:lineRule="auto"/>
        <w:ind w:firstLine="709"/>
        <w:jc w:val="both"/>
        <w:rPr>
          <w:rFonts w:ascii="Times New Roman" w:hAnsi="Times New Roman" w:cs="Times New Roman"/>
          <w:b/>
          <w:color w:val="000000"/>
          <w:sz w:val="24"/>
          <w:szCs w:val="24"/>
        </w:rPr>
      </w:pPr>
      <w:r w:rsidRPr="0040688C">
        <w:rPr>
          <w:rFonts w:ascii="Times New Roman" w:hAnsi="Times New Roman" w:cs="Times New Roman"/>
          <w:b/>
          <w:color w:val="000000"/>
          <w:sz w:val="24"/>
          <w:szCs w:val="24"/>
        </w:rPr>
        <w:t xml:space="preserve">1. В областта на електропреносната инфраструктура </w:t>
      </w:r>
    </w:p>
    <w:p w14:paraId="30CF6496"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Приоритетен коридор електрическа връзка север-юг в Централна, Източна и Южна Европа ("NSI East Electricity"). </w:t>
      </w:r>
    </w:p>
    <w:p w14:paraId="1F5294C7" w14:textId="77777777" w:rsidR="00357377" w:rsidRPr="00C341C8" w:rsidRDefault="00357377" w:rsidP="004F15F5">
      <w:pPr>
        <w:pStyle w:val="ListParagraph"/>
        <w:numPr>
          <w:ilvl w:val="0"/>
          <w:numId w:val="27"/>
        </w:numPr>
        <w:autoSpaceDE w:val="0"/>
        <w:autoSpaceDN w:val="0"/>
        <w:adjustRightInd w:val="0"/>
        <w:spacing w:after="0" w:line="276" w:lineRule="auto"/>
        <w:jc w:val="both"/>
        <w:rPr>
          <w:rFonts w:ascii="Times New Roman" w:hAnsi="Times New Roman" w:cs="Times New Roman"/>
          <w:color w:val="000000"/>
          <w:sz w:val="24"/>
          <w:szCs w:val="24"/>
        </w:rPr>
      </w:pPr>
      <w:r w:rsidRPr="00C341C8">
        <w:rPr>
          <w:rFonts w:ascii="Times New Roman" w:hAnsi="Times New Roman" w:cs="Times New Roman"/>
          <w:color w:val="000000"/>
          <w:sz w:val="24"/>
          <w:szCs w:val="24"/>
        </w:rPr>
        <w:t xml:space="preserve">Клъстер България-Гърция и необходимото изграждане на инфраструктура на територията на България: </w:t>
      </w:r>
    </w:p>
    <w:p w14:paraId="3E22584E" w14:textId="77777777" w:rsidR="00357377" w:rsidRPr="00C341C8" w:rsidRDefault="00357377" w:rsidP="004F15F5">
      <w:pPr>
        <w:pStyle w:val="ListParagraph"/>
        <w:numPr>
          <w:ilvl w:val="0"/>
          <w:numId w:val="28"/>
        </w:numPr>
        <w:autoSpaceDE w:val="0"/>
        <w:autoSpaceDN w:val="0"/>
        <w:adjustRightInd w:val="0"/>
        <w:spacing w:after="0" w:line="276" w:lineRule="auto"/>
        <w:jc w:val="both"/>
        <w:rPr>
          <w:rFonts w:ascii="Times New Roman" w:hAnsi="Times New Roman" w:cs="Times New Roman"/>
          <w:color w:val="000000"/>
          <w:sz w:val="24"/>
          <w:szCs w:val="24"/>
        </w:rPr>
      </w:pPr>
      <w:r w:rsidRPr="00C341C8">
        <w:rPr>
          <w:rFonts w:ascii="Times New Roman" w:hAnsi="Times New Roman" w:cs="Times New Roman"/>
          <w:color w:val="000000"/>
          <w:sz w:val="24"/>
          <w:szCs w:val="24"/>
        </w:rPr>
        <w:t xml:space="preserve">Междусистемен електропровод 400 kV между подстанция „Марица Изток“ и подстанция „Неа Санта“ (Гърция); </w:t>
      </w:r>
    </w:p>
    <w:p w14:paraId="46A28326" w14:textId="77777777" w:rsidR="00357377" w:rsidRPr="00C341C8" w:rsidRDefault="00357377" w:rsidP="004F15F5">
      <w:pPr>
        <w:pStyle w:val="ListParagraph"/>
        <w:numPr>
          <w:ilvl w:val="0"/>
          <w:numId w:val="28"/>
        </w:numPr>
        <w:autoSpaceDE w:val="0"/>
        <w:autoSpaceDN w:val="0"/>
        <w:adjustRightInd w:val="0"/>
        <w:spacing w:after="0" w:line="276" w:lineRule="auto"/>
        <w:jc w:val="both"/>
        <w:rPr>
          <w:rFonts w:ascii="Times New Roman" w:hAnsi="Times New Roman" w:cs="Times New Roman"/>
          <w:color w:val="000000"/>
          <w:sz w:val="24"/>
          <w:szCs w:val="24"/>
        </w:rPr>
      </w:pPr>
      <w:r w:rsidRPr="00C341C8">
        <w:rPr>
          <w:rFonts w:ascii="Times New Roman" w:hAnsi="Times New Roman" w:cs="Times New Roman"/>
          <w:color w:val="000000"/>
          <w:sz w:val="24"/>
          <w:szCs w:val="24"/>
        </w:rPr>
        <w:t xml:space="preserve">Вътрешен електропровод 400 kV между подстанция „Марица Изток“ и подстанция „Пловдив“; </w:t>
      </w:r>
    </w:p>
    <w:p w14:paraId="638E2856" w14:textId="77777777" w:rsidR="00357377" w:rsidRPr="00C341C8" w:rsidRDefault="00357377" w:rsidP="004F15F5">
      <w:pPr>
        <w:pStyle w:val="ListParagraph"/>
        <w:numPr>
          <w:ilvl w:val="0"/>
          <w:numId w:val="28"/>
        </w:numPr>
        <w:autoSpaceDE w:val="0"/>
        <w:autoSpaceDN w:val="0"/>
        <w:adjustRightInd w:val="0"/>
        <w:spacing w:after="0" w:line="276" w:lineRule="auto"/>
        <w:jc w:val="both"/>
        <w:rPr>
          <w:rFonts w:ascii="Times New Roman" w:hAnsi="Times New Roman" w:cs="Times New Roman"/>
          <w:color w:val="000000"/>
          <w:sz w:val="24"/>
          <w:szCs w:val="24"/>
        </w:rPr>
      </w:pPr>
      <w:r w:rsidRPr="00C341C8">
        <w:rPr>
          <w:rFonts w:ascii="Times New Roman" w:hAnsi="Times New Roman" w:cs="Times New Roman"/>
          <w:color w:val="000000"/>
          <w:sz w:val="24"/>
          <w:szCs w:val="24"/>
        </w:rPr>
        <w:t xml:space="preserve">Вътрешен електропровод 400 kV между подстанция „Марица Изток“ и ОРУ на ТЕЦ „Марица Изток 3"; </w:t>
      </w:r>
    </w:p>
    <w:p w14:paraId="5FAE5BC8" w14:textId="77777777" w:rsidR="00357377" w:rsidRPr="00C341C8" w:rsidRDefault="00357377" w:rsidP="004F15F5">
      <w:pPr>
        <w:pStyle w:val="ListParagraph"/>
        <w:numPr>
          <w:ilvl w:val="0"/>
          <w:numId w:val="28"/>
        </w:numPr>
        <w:autoSpaceDE w:val="0"/>
        <w:autoSpaceDN w:val="0"/>
        <w:adjustRightInd w:val="0"/>
        <w:spacing w:after="0" w:line="276" w:lineRule="auto"/>
        <w:jc w:val="both"/>
        <w:rPr>
          <w:rFonts w:ascii="Times New Roman" w:hAnsi="Times New Roman" w:cs="Times New Roman"/>
          <w:color w:val="000000"/>
          <w:sz w:val="24"/>
          <w:szCs w:val="24"/>
        </w:rPr>
      </w:pPr>
      <w:r w:rsidRPr="00C341C8">
        <w:rPr>
          <w:rFonts w:ascii="Times New Roman" w:hAnsi="Times New Roman" w:cs="Times New Roman"/>
          <w:color w:val="000000"/>
          <w:sz w:val="24"/>
          <w:szCs w:val="24"/>
        </w:rPr>
        <w:t xml:space="preserve">Вътрешен електропровод 400 kV между подстанция „Марица Изток“ и подстанция „Бургас“; </w:t>
      </w:r>
    </w:p>
    <w:p w14:paraId="3F04011E"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17ABA03C" w14:textId="77777777" w:rsidR="00E37E20" w:rsidRPr="007E015D" w:rsidRDefault="00357377" w:rsidP="00C341C8">
      <w:pPr>
        <w:spacing w:after="0" w:line="276" w:lineRule="auto"/>
        <w:ind w:firstLine="709"/>
        <w:jc w:val="both"/>
        <w:rPr>
          <w:rFonts w:ascii="Times New Roman" w:hAnsi="Times New Roman" w:cs="Times New Roman"/>
          <w:color w:val="FF0000"/>
          <w:sz w:val="24"/>
          <w:szCs w:val="24"/>
        </w:rPr>
      </w:pPr>
      <w:r w:rsidRPr="007E015D">
        <w:rPr>
          <w:rFonts w:ascii="Times New Roman" w:hAnsi="Times New Roman" w:cs="Times New Roman"/>
          <w:color w:val="000000"/>
          <w:sz w:val="24"/>
          <w:szCs w:val="24"/>
        </w:rPr>
        <w:t>Всички изградени нови електропроводи имат капацитет от по 1 280 MW.</w:t>
      </w:r>
    </w:p>
    <w:p w14:paraId="2E2EEA73"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58E510A6" w14:textId="77777777" w:rsidR="00357377" w:rsidRPr="007E015D" w:rsidRDefault="00357377" w:rsidP="004F15F5">
      <w:pPr>
        <w:pStyle w:val="ListParagraph"/>
        <w:numPr>
          <w:ilvl w:val="0"/>
          <w:numId w:val="27"/>
        </w:numPr>
        <w:autoSpaceDE w:val="0"/>
        <w:autoSpaceDN w:val="0"/>
        <w:adjustRightInd w:val="0"/>
        <w:spacing w:after="0" w:line="276" w:lineRule="auto"/>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Клъстер България-Румъния за увеличаване на капацитета („Коридор Черно море“), който включва вътрешен електропровод 400 kV между подстанция Варна и подстанция Бургас </w:t>
      </w:r>
    </w:p>
    <w:p w14:paraId="66BC8618" w14:textId="77777777" w:rsidR="00357377" w:rsidRPr="007E015D" w:rsidRDefault="00357377" w:rsidP="004F15F5">
      <w:pPr>
        <w:pStyle w:val="ListParagraph"/>
        <w:numPr>
          <w:ilvl w:val="0"/>
          <w:numId w:val="27"/>
        </w:numPr>
        <w:autoSpaceDE w:val="0"/>
        <w:autoSpaceDN w:val="0"/>
        <w:adjustRightInd w:val="0"/>
        <w:spacing w:after="0" w:line="276" w:lineRule="auto"/>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Хидро-помпено акумулиращ проект в България – Яденица </w:t>
      </w:r>
    </w:p>
    <w:p w14:paraId="69714618" w14:textId="77777777" w:rsidR="00C341C8" w:rsidRDefault="00C341C8"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399AFED4" w14:textId="77777777" w:rsidR="00357377"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Проектът за разширяване на ПАВЕЦ "Чаира" с язовир "Яденица" отпадна от V-тия списък с проекти от общ интерес (приет от Европейската комисия на 19.11.2021 г.), по препоръка на Генерална дирекция "Околна среда" (ENVI), на основание чл. 5.8 от Регламент 347/2013 - неспазване на законодателството на ЕС (Директивата за местообитанията, чл. 4.7 от Рамковата директива за водите и др.). </w:t>
      </w:r>
    </w:p>
    <w:p w14:paraId="0A2EEB61" w14:textId="77777777" w:rsidR="00C341C8" w:rsidRPr="007E015D" w:rsidRDefault="00C341C8"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45088BFB" w14:textId="25098F3B" w:rsidR="00357377" w:rsidRPr="007E015D" w:rsidRDefault="00F970A1" w:rsidP="00F970A1">
      <w:pPr>
        <w:pStyle w:val="ListParagraph"/>
        <w:numPr>
          <w:ilvl w:val="0"/>
          <w:numId w:val="27"/>
        </w:numPr>
        <w:autoSpaceDE w:val="0"/>
        <w:autoSpaceDN w:val="0"/>
        <w:adjustRightInd w:val="0"/>
        <w:spacing w:after="0" w:line="276" w:lineRule="auto"/>
        <w:jc w:val="both"/>
        <w:rPr>
          <w:rFonts w:ascii="Times New Roman" w:hAnsi="Times New Roman" w:cs="Times New Roman"/>
          <w:color w:val="000000"/>
          <w:sz w:val="24"/>
          <w:szCs w:val="24"/>
        </w:rPr>
      </w:pPr>
      <w:r w:rsidRPr="00F970A1">
        <w:rPr>
          <w:rFonts w:ascii="Times New Roman" w:hAnsi="Times New Roman" w:cs="Times New Roman"/>
          <w:color w:val="000000"/>
          <w:sz w:val="24"/>
          <w:szCs w:val="24"/>
        </w:rPr>
        <w:t>Проект за развитие интелигентни мрежи CARMEN</w:t>
      </w:r>
      <w:r>
        <w:rPr>
          <w:rFonts w:ascii="Times New Roman" w:hAnsi="Times New Roman" w:cs="Times New Roman"/>
          <w:color w:val="000000"/>
          <w:sz w:val="24"/>
          <w:szCs w:val="24"/>
        </w:rPr>
        <w:t xml:space="preserve"> (п</w:t>
      </w:r>
      <w:r w:rsidRPr="00F970A1">
        <w:rPr>
          <w:rFonts w:ascii="Times New Roman" w:hAnsi="Times New Roman" w:cs="Times New Roman"/>
          <w:color w:val="000000"/>
          <w:sz w:val="24"/>
          <w:szCs w:val="24"/>
        </w:rPr>
        <w:t>роект от общ интерес</w:t>
      </w:r>
      <w:r>
        <w:rPr>
          <w:rFonts w:ascii="Times New Roman" w:hAnsi="Times New Roman" w:cs="Times New Roman"/>
          <w:color w:val="000000"/>
          <w:sz w:val="24"/>
          <w:szCs w:val="24"/>
        </w:rPr>
        <w:t xml:space="preserve">, </w:t>
      </w:r>
      <w:r w:rsidR="00357377" w:rsidRPr="007E015D">
        <w:rPr>
          <w:rFonts w:ascii="Times New Roman" w:hAnsi="Times New Roman" w:cs="Times New Roman"/>
          <w:color w:val="000000"/>
          <w:sz w:val="24"/>
          <w:szCs w:val="24"/>
        </w:rPr>
        <w:t xml:space="preserve">„CARMEN (BG, RO) aiming cross-border TSO-TSO cooperation and data sharing, </w:t>
      </w:r>
      <w:r w:rsidR="00357377" w:rsidRPr="007E015D">
        <w:rPr>
          <w:rFonts w:ascii="Times New Roman" w:hAnsi="Times New Roman" w:cs="Times New Roman"/>
          <w:color w:val="000000"/>
          <w:sz w:val="24"/>
          <w:szCs w:val="24"/>
        </w:rPr>
        <w:lastRenderedPageBreak/>
        <w:t>enhance TSO-DSO cooperation, investments in grid extension and increase capacity for integration of new RES, improvement of grid stability, security and flexibility“</w:t>
      </w:r>
      <w:r>
        <w:rPr>
          <w:rFonts w:ascii="Times New Roman" w:hAnsi="Times New Roman" w:cs="Times New Roman"/>
          <w:color w:val="000000"/>
          <w:sz w:val="24"/>
          <w:szCs w:val="24"/>
        </w:rPr>
        <w:t>).</w:t>
      </w:r>
      <w:r w:rsidR="00AC348D" w:rsidRPr="00AC348D">
        <w:t xml:space="preserve"> </w:t>
      </w:r>
      <w:r w:rsidR="00AC348D" w:rsidRPr="00AC348D">
        <w:rPr>
          <w:rFonts w:ascii="Times New Roman" w:hAnsi="Times New Roman" w:cs="Times New Roman"/>
          <w:color w:val="000000"/>
          <w:sz w:val="24"/>
          <w:szCs w:val="24"/>
        </w:rPr>
        <w:t>Целта на Проекта е модернизиране на съществуващата електропреносна инфраструктура, прилагайки стандартите за интелигентни мрежи в електропреносните и електроразпределителните системи на Румъния и България.</w:t>
      </w:r>
    </w:p>
    <w:p w14:paraId="73EEE84F"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2F530D85"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„Електроенергийният системен оператор“ (ЕСО) ЕАД се включи като активен партньор в проект „CARMEN 2: Карпатска модернизирана енергийна мрежа“. </w:t>
      </w:r>
    </w:p>
    <w:p w14:paraId="203A73AC"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Проектът CARMEN е част от Петия списък с проекти от общ интерес в категорията „умни мрежи“ с участието на Delgaz Grid, оператор на разпределителната мрежа в североизточния регион на Румъния, в партньорство с румънския преносен оператор TRANSELECTRICA и унгарския преносен оператор MAVIR. </w:t>
      </w:r>
    </w:p>
    <w:p w14:paraId="7D74447A" w14:textId="77777777" w:rsidR="0040688C" w:rsidRDefault="00357377" w:rsidP="00C341C8">
      <w:pPr>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Участието на ЕСО ЕАД в проекта се изразява в инвестиции за повишаване способностите на българската електропреносна система за оползотворяване на установения висок потенциал за възобновяема енергия (над 8 GW, включително под формата на зелен водород) на национално и регионално равнище</w:t>
      </w:r>
      <w:r w:rsidR="0040688C">
        <w:rPr>
          <w:rFonts w:ascii="Times New Roman" w:hAnsi="Times New Roman" w:cs="Times New Roman"/>
          <w:color w:val="000000"/>
          <w:sz w:val="24"/>
          <w:szCs w:val="24"/>
        </w:rPr>
        <w:t>.</w:t>
      </w:r>
    </w:p>
    <w:p w14:paraId="707408F5" w14:textId="77777777" w:rsidR="00C341C8" w:rsidRDefault="00C341C8"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2E889CF6" w14:textId="77777777" w:rsidR="00357377" w:rsidRPr="0040688C" w:rsidRDefault="00357377" w:rsidP="007E015D">
      <w:pPr>
        <w:autoSpaceDE w:val="0"/>
        <w:autoSpaceDN w:val="0"/>
        <w:adjustRightInd w:val="0"/>
        <w:spacing w:after="0" w:line="276" w:lineRule="auto"/>
        <w:ind w:firstLine="709"/>
        <w:jc w:val="both"/>
        <w:rPr>
          <w:rFonts w:ascii="Times New Roman" w:hAnsi="Times New Roman" w:cs="Times New Roman"/>
          <w:b/>
          <w:color w:val="000000"/>
          <w:sz w:val="24"/>
          <w:szCs w:val="24"/>
        </w:rPr>
      </w:pPr>
      <w:r w:rsidRPr="0040688C">
        <w:rPr>
          <w:rFonts w:ascii="Times New Roman" w:hAnsi="Times New Roman" w:cs="Times New Roman"/>
          <w:b/>
          <w:color w:val="000000"/>
          <w:sz w:val="24"/>
          <w:szCs w:val="24"/>
        </w:rPr>
        <w:t xml:space="preserve">2. Основни проекти в областта на газопреносната инфраструктура </w:t>
      </w:r>
    </w:p>
    <w:p w14:paraId="49FA49E1" w14:textId="77777777" w:rsidR="00357377" w:rsidRPr="007E015D" w:rsidRDefault="00357377" w:rsidP="0040688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През 2023 г. българският регулатор публикува Десетгодишния план за развитие на мрежата на "Булгартрансгаз" ЕАД за периода 2023-2032 г., който е основа за разработването на Регионални инвестиционни планове за развитие на мрежата (GRIPs) и Общностния плана за развитие на мрежата в ЕС, изготвен от Европейската мрежа на операторите на преносни системи (ENTSO-G). </w:t>
      </w:r>
    </w:p>
    <w:p w14:paraId="21F125A4" w14:textId="77777777" w:rsidR="00357377" w:rsidRPr="007E015D" w:rsidRDefault="00357377" w:rsidP="0040688C">
      <w:pPr>
        <w:spacing w:after="0" w:line="276" w:lineRule="auto"/>
        <w:ind w:firstLine="709"/>
        <w:jc w:val="both"/>
        <w:rPr>
          <w:rFonts w:ascii="Times New Roman" w:hAnsi="Times New Roman" w:cs="Times New Roman"/>
          <w:color w:val="FF0000"/>
          <w:sz w:val="24"/>
          <w:szCs w:val="24"/>
        </w:rPr>
      </w:pPr>
      <w:r w:rsidRPr="007E015D">
        <w:rPr>
          <w:rFonts w:ascii="Times New Roman" w:hAnsi="Times New Roman" w:cs="Times New Roman"/>
          <w:color w:val="000000"/>
          <w:sz w:val="24"/>
          <w:szCs w:val="24"/>
        </w:rPr>
        <w:t>Проектите имат за цел да гарантират сигурността на доставките на природен газ за страната чрез изграждане на междусистемни газопроводи чрез разширяване на възможностите за подземно съхранение на природен газ, както по отношение на съоръженията за добив и компресия, така и по отношение на възможността за съхранение на по-голям обем природен газ. Друга основна цел е да се предостави на по-голям брой общини и крайни клиенти достъп до природен газ, което ще допринесе за подобряване на околната среда, качеството на живот и повишаване на енергийната ефективност. В тази връзка се предвижда разширяване на съществуващата газопреносна мрежа до нови региони на страната и изграждането на нови измервателни и регулиращи станции.</w:t>
      </w:r>
    </w:p>
    <w:p w14:paraId="3B3DC372"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За създаването на регионален пазар на природен газ е от съществено значение изграждането и експлоатацията на нови инфраструктурни проекти, в т.ч. и проекти от общ интерес. Ключов в това отношение е междусистемният газопровод между Гърция и България, който е сред седемте енергийни приоритетни проекта на ЕС и ще бъде реализиран в синхрон с проекта TAP. Българските и гръцките регулаторни органи взеха съвместно решение за предоставяне на временно освобождаване на междусистемният газопровод от изискванията за достъп на трети страни, регулирани тарифи и отделяне съгласно Директива </w:t>
      </w:r>
      <w:r w:rsidRPr="007E015D">
        <w:rPr>
          <w:rFonts w:ascii="Times New Roman" w:hAnsi="Times New Roman" w:cs="Times New Roman"/>
          <w:color w:val="000000"/>
          <w:sz w:val="24"/>
          <w:szCs w:val="24"/>
        </w:rPr>
        <w:lastRenderedPageBreak/>
        <w:t xml:space="preserve">2009/73/ЕО на Европейския парламент и на Съвета от 13 юли 2009 г. относно общите правила за вътрешния пазар на природен газ. </w:t>
      </w:r>
    </w:p>
    <w:p w14:paraId="4B7FAF1A" w14:textId="77777777" w:rsidR="00C341C8" w:rsidRDefault="00C341C8" w:rsidP="00C341C8">
      <w:pPr>
        <w:pStyle w:val="ListParagraph"/>
        <w:autoSpaceDE w:val="0"/>
        <w:autoSpaceDN w:val="0"/>
        <w:adjustRightInd w:val="0"/>
        <w:spacing w:after="0" w:line="276" w:lineRule="auto"/>
        <w:ind w:left="1080"/>
        <w:jc w:val="both"/>
        <w:rPr>
          <w:rFonts w:ascii="Times New Roman" w:hAnsi="Times New Roman" w:cs="Times New Roman"/>
          <w:color w:val="000000"/>
          <w:sz w:val="24"/>
          <w:szCs w:val="24"/>
        </w:rPr>
      </w:pPr>
    </w:p>
    <w:p w14:paraId="7C6D453E" w14:textId="77777777" w:rsidR="00357377" w:rsidRPr="00C341C8" w:rsidRDefault="00357377" w:rsidP="004F15F5">
      <w:pPr>
        <w:pStyle w:val="ListParagraph"/>
        <w:numPr>
          <w:ilvl w:val="0"/>
          <w:numId w:val="29"/>
        </w:numPr>
        <w:autoSpaceDE w:val="0"/>
        <w:autoSpaceDN w:val="0"/>
        <w:adjustRightInd w:val="0"/>
        <w:spacing w:after="0" w:line="276" w:lineRule="auto"/>
        <w:jc w:val="both"/>
        <w:rPr>
          <w:rFonts w:ascii="Times New Roman" w:hAnsi="Times New Roman" w:cs="Times New Roman"/>
          <w:color w:val="000000"/>
          <w:sz w:val="24"/>
          <w:szCs w:val="24"/>
        </w:rPr>
      </w:pPr>
      <w:r w:rsidRPr="00C341C8">
        <w:rPr>
          <w:rFonts w:ascii="Times New Roman" w:hAnsi="Times New Roman" w:cs="Times New Roman"/>
          <w:color w:val="000000"/>
          <w:sz w:val="24"/>
          <w:szCs w:val="24"/>
        </w:rPr>
        <w:t xml:space="preserve">Междусистемна газова връзка Гърция-България (IGB) </w:t>
      </w:r>
    </w:p>
    <w:p w14:paraId="070662B3" w14:textId="77777777" w:rsidR="00357377" w:rsidRPr="007E015D" w:rsidRDefault="00357377" w:rsidP="007E015D">
      <w:pPr>
        <w:pStyle w:val="Default"/>
        <w:spacing w:line="276" w:lineRule="auto"/>
        <w:ind w:firstLine="709"/>
        <w:jc w:val="both"/>
        <w:rPr>
          <w:lang w:val="bg-BG"/>
        </w:rPr>
      </w:pPr>
      <w:r w:rsidRPr="007E015D">
        <w:t xml:space="preserve">Газовата връзка е с обща дължина от 182 км и капацитет за транспортиране на природен газ от 3 млрд. куб. м/г. При наличие на интерес капацитетът може да бъде разширен до 5 млрд. куб. м/г. Трасето на проекта е между гр. Комотини, Република </w:t>
      </w:r>
      <w:r w:rsidRPr="007E015D">
        <w:rPr>
          <w:lang w:val="bg-BG"/>
        </w:rPr>
        <w:t xml:space="preserve">Гърция и гр. Стара Загора, Република България. Газопроводът IGB свързва преносните системи на DESFA и TAP в гр. Комотини, Република Гърция с преносната система на "Булгартрансгаз" ЕАД в гр. Стара Загора. </w:t>
      </w:r>
    </w:p>
    <w:p w14:paraId="1B051438"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Проектът за междусистемна газова връзка Гърция – България е част от списъка с проекти от общ интерес на Европейския съюз (ПОИ), съгласно Регламент (ЕС) № 347/2013 относно указания за трансевропейската енергийна инфраструктура. Той е и един от седемте приоритетни газови проекти в рамките на инициативата за газова междусистемна свързаност в Централна и Югоизточна Европа (CESEC). </w:t>
      </w:r>
    </w:p>
    <w:p w14:paraId="2CE55BBF"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Преките ефекти от реализацията на проекта са: постигане на реална диверсификация на източниците на доставки на природен газ за Република България и за региона, осигуряване на възможност за доставки на природен газ от Южния газов коридор и от източници на втечнен природен газ (LNG), превръщане на Република България и газопреносната й система в основна част от регионална инфраструктура за газови доставки от алтернативни източници за региона на Югоизточна и Централна Европа. </w:t>
      </w:r>
    </w:p>
    <w:p w14:paraId="75FD7916"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Чрез този проект Република България ще има възможност да внася договорените 1 млрд. м3/г. природен газ от втората фаза на газовото находище Шах Дениз в Азербайджан. Междусистемната връзка ще способства и за осигуряване на газови доставки от терминала за втечнен природен газ до Александруполис от производители на втечнен природен газ като САЩ, Катар, Алжир, Нигерия и др., а за в бъдеще от Израел, Египет и др. </w:t>
      </w:r>
    </w:p>
    <w:p w14:paraId="181B44DE" w14:textId="77777777" w:rsidR="00357377" w:rsidRDefault="00357377" w:rsidP="0040688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Строителството на интерконектора между Гърция и България приключи, междусистемната газова връзка е въведена в експлоатация на 01.10.2022 г. </w:t>
      </w:r>
    </w:p>
    <w:p w14:paraId="692DC67F" w14:textId="77777777" w:rsidR="00C341C8" w:rsidRPr="007E015D" w:rsidRDefault="00C341C8" w:rsidP="0040688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1C24EBC7" w14:textId="77777777" w:rsidR="00357377" w:rsidRPr="00C341C8" w:rsidRDefault="00357377" w:rsidP="0040688C">
      <w:pPr>
        <w:pStyle w:val="ListParagraph"/>
        <w:numPr>
          <w:ilvl w:val="0"/>
          <w:numId w:val="30"/>
        </w:numPr>
        <w:autoSpaceDE w:val="0"/>
        <w:autoSpaceDN w:val="0"/>
        <w:adjustRightInd w:val="0"/>
        <w:spacing w:after="0" w:line="276" w:lineRule="auto"/>
        <w:ind w:left="0" w:firstLine="709"/>
        <w:jc w:val="both"/>
        <w:rPr>
          <w:rFonts w:ascii="Times New Roman" w:hAnsi="Times New Roman" w:cs="Times New Roman"/>
          <w:color w:val="000000"/>
          <w:sz w:val="24"/>
          <w:szCs w:val="24"/>
        </w:rPr>
      </w:pPr>
      <w:r w:rsidRPr="00C341C8">
        <w:rPr>
          <w:rFonts w:ascii="Times New Roman" w:hAnsi="Times New Roman" w:cs="Times New Roman"/>
          <w:color w:val="000000"/>
          <w:sz w:val="24"/>
          <w:szCs w:val="24"/>
        </w:rPr>
        <w:t xml:space="preserve">Междусистемна връзка България-Сърбия (IBS) </w:t>
      </w:r>
    </w:p>
    <w:p w14:paraId="4F75EB83" w14:textId="77777777" w:rsidR="00357377" w:rsidRPr="0040688C" w:rsidRDefault="00357377" w:rsidP="0040688C">
      <w:pPr>
        <w:spacing w:after="0" w:line="276" w:lineRule="auto"/>
        <w:ind w:firstLine="709"/>
        <w:jc w:val="both"/>
        <w:rPr>
          <w:rFonts w:ascii="Times New Roman" w:hAnsi="Times New Roman" w:cs="Times New Roman"/>
          <w:sz w:val="24"/>
          <w:szCs w:val="24"/>
        </w:rPr>
      </w:pPr>
      <w:r w:rsidRPr="007E015D">
        <w:rPr>
          <w:rFonts w:ascii="Times New Roman" w:hAnsi="Times New Roman" w:cs="Times New Roman"/>
          <w:color w:val="000000"/>
          <w:sz w:val="24"/>
          <w:szCs w:val="24"/>
        </w:rPr>
        <w:t>Друг проект, свързан с диверсификация на източниците и маршрутите за доставка на природен газ е междусистемната газова връзка България-Сърбия. Проектът ще осигури достъп на Сърбия до газ от Южния газов коридор и на България до газовите пазари в Централна и Западна Европа, както и до терминала за втечнен природен газ в Хърватия.</w:t>
      </w:r>
    </w:p>
    <w:p w14:paraId="79D8DF99"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Междусистемната връзка София – Димитровград (Сърбия) – Ниш (Сърбия) е реверсивна връзка (обща дължина около 170 км, от които 62.2 км на българска територия), която свързва националните газопреносни мрежи на България и Сърбия. Пропускателната способност на газопровода е 1.8 млрд. м</w:t>
      </w:r>
      <w:r w:rsidRPr="0040688C">
        <w:rPr>
          <w:rFonts w:ascii="Times New Roman" w:hAnsi="Times New Roman" w:cs="Times New Roman"/>
          <w:color w:val="000000"/>
          <w:sz w:val="24"/>
          <w:szCs w:val="24"/>
          <w:vertAlign w:val="superscript"/>
        </w:rPr>
        <w:t>3</w:t>
      </w:r>
      <w:r w:rsidRPr="007E015D">
        <w:rPr>
          <w:rFonts w:ascii="Times New Roman" w:hAnsi="Times New Roman" w:cs="Times New Roman"/>
          <w:color w:val="000000"/>
          <w:sz w:val="24"/>
          <w:szCs w:val="24"/>
        </w:rPr>
        <w:t xml:space="preserve">/г. Междусистемната връзка България – Сърбия е включена в петия списък с проекти от общ интерес за Европейския съюз, съгласно </w:t>
      </w:r>
      <w:r w:rsidRPr="007E015D">
        <w:rPr>
          <w:rFonts w:ascii="Times New Roman" w:hAnsi="Times New Roman" w:cs="Times New Roman"/>
          <w:color w:val="000000"/>
          <w:sz w:val="24"/>
          <w:szCs w:val="24"/>
        </w:rPr>
        <w:lastRenderedPageBreak/>
        <w:t xml:space="preserve">Регламент (ЕС) № 347/2013 относно указания за трансевропейската енергийна инфраструктура, приет от Европейската комисия на 19.11.2021 г. </w:t>
      </w:r>
    </w:p>
    <w:p w14:paraId="1006D6B6"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Интерконекторът е въведен в експлоатация в началото на месец декември 2023 г. </w:t>
      </w:r>
    </w:p>
    <w:p w14:paraId="7167CDC5" w14:textId="77777777" w:rsidR="00357377" w:rsidRPr="007E015D" w:rsidRDefault="00357377" w:rsidP="007E015D">
      <w:pPr>
        <w:pStyle w:val="Default"/>
        <w:spacing w:line="276" w:lineRule="auto"/>
        <w:ind w:firstLine="709"/>
        <w:jc w:val="both"/>
      </w:pPr>
    </w:p>
    <w:p w14:paraId="364DED9C" w14:textId="77777777" w:rsidR="00357377" w:rsidRPr="007E015D" w:rsidRDefault="00357377" w:rsidP="0040688C">
      <w:pPr>
        <w:pStyle w:val="Default"/>
        <w:numPr>
          <w:ilvl w:val="0"/>
          <w:numId w:val="30"/>
        </w:numPr>
        <w:spacing w:line="276" w:lineRule="auto"/>
        <w:ind w:left="0" w:firstLine="709"/>
        <w:jc w:val="both"/>
      </w:pPr>
      <w:r w:rsidRPr="007E015D">
        <w:t xml:space="preserve">Проект за LNG терминал до Александруполис </w:t>
      </w:r>
    </w:p>
    <w:p w14:paraId="66A15B00"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Проектът за изграждане на терминал за ВПГ край Александруполис, в който българската страна участва с 20% дял, е важен за ефективното използване на капацитета на междусистемната връзка Гърция-България. Проектът ще осигури достъп на България и целия регион до глобалния пазар на втечнен газ. Очаква се терминалът да започне да функционира през първото тримесечие на 2024 г. </w:t>
      </w:r>
    </w:p>
    <w:p w14:paraId="572D0D54"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Изграждането на терминала за втечнен природен газ в Александропулис, Гърция, има за цел да осигури нови количества газ за снабдяване на гръцкия и регионалните пазари в Югоизточна Европа, допринасяйки същевременно за диверсификация на източниците за доставка на газ и трасетата, насърчаване на конкуренцията в полза на крайните клиенти, както и повишаване на сигурността на доставките. Сред потенциални източници за доставка са страни, производители на втечнен природен газ, като Алжир, Катар, САЩ и др. </w:t>
      </w:r>
    </w:p>
    <w:p w14:paraId="766532CB"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Терминалът ще се намира на 17.6 км югозападно от пристанището на Александруполис и на около 10 км от брега. Съоръжението ще бъде свързано с националната система за пренос на природен газ на Гърция и с българската газопреносна система, чрез интерконектора Гърция-България. </w:t>
      </w:r>
    </w:p>
    <w:p w14:paraId="235A8970"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Очаква се плаващият терминал за приемане, складиране и повторно регазифициране на втечнен природен газ да бъде въведен в търговска експлоатация през първото тримесечие на 2024 г. </w:t>
      </w:r>
    </w:p>
    <w:p w14:paraId="6357528B" w14:textId="77777777" w:rsidR="00357377" w:rsidRPr="007E015D" w:rsidRDefault="00357377" w:rsidP="007E015D">
      <w:pPr>
        <w:spacing w:before="120"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Проектът отпадна от петия списък с проекти от общ интерес за Европейския съюз, съгласно Регламент (ЕС) № 347/2013 относно указания за трансевропейската енергийна инфраструктура (приет от Европейската комисия на 19.11.2021 г.).</w:t>
      </w:r>
    </w:p>
    <w:p w14:paraId="28069BEE"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2098AF7D" w14:textId="77777777" w:rsidR="00357377" w:rsidRPr="00C341C8" w:rsidRDefault="00357377" w:rsidP="0040688C">
      <w:pPr>
        <w:pStyle w:val="Default"/>
        <w:numPr>
          <w:ilvl w:val="0"/>
          <w:numId w:val="30"/>
        </w:numPr>
        <w:spacing w:line="276" w:lineRule="auto"/>
        <w:ind w:left="0" w:firstLine="709"/>
        <w:jc w:val="both"/>
      </w:pPr>
      <w:r w:rsidRPr="00C341C8">
        <w:t xml:space="preserve">Газоразпределителен център „Балкан“ </w:t>
      </w:r>
    </w:p>
    <w:p w14:paraId="1C910077"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Газоразпределителен център „Балкан“ е представен в 5-тия списък с проекти от общ интерес за ЕС, съгласно Регламент (ЕС) № 347/2013, като група от проекти за развитие и укрепване на газовата инфраструктурата, които допринасят за неговото осъществяване. В тази група попадат проектите за междусистемни газови връзки с Гърция и Сърбия, както и проектът за модернизация и рехабилитация на газопреносната система на „Булгартрансгаз” ЕАД. </w:t>
      </w:r>
    </w:p>
    <w:p w14:paraId="01CB9599"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За реализацията на концепцията за газоразпределителен център „Балкан“ и увеличаване ликвидността на пазара на природен газ в България и региона на Югоизточна Европа, на 17.01.2019 г. „Булгартрансгаз“ регистрира дъщерно дружество „Газов хъб Балкан“ ЕАД. От 9 декември 2019 г. в България работи борса за търговия с природен газ чрез сегмент за осъществяване на Програма за освобождаване на газ, регламентирана в </w:t>
      </w:r>
      <w:r w:rsidRPr="007E015D">
        <w:rPr>
          <w:rFonts w:ascii="Times New Roman" w:hAnsi="Times New Roman" w:cs="Times New Roman"/>
          <w:color w:val="000000"/>
          <w:sz w:val="24"/>
          <w:szCs w:val="24"/>
        </w:rPr>
        <w:lastRenderedPageBreak/>
        <w:t xml:space="preserve">Закона за енергетиката. Оператор на борсовия сегмент е "Газов хъб Балкан" ЕАД е дъщерното дружество на "Булгартрансгаз" ЕАД. </w:t>
      </w:r>
    </w:p>
    <w:p w14:paraId="7A36C32E" w14:textId="77777777" w:rsidR="00357377" w:rsidRPr="007E015D" w:rsidRDefault="00357377" w:rsidP="007E015D">
      <w:pPr>
        <w:pStyle w:val="Default"/>
        <w:spacing w:line="276" w:lineRule="auto"/>
        <w:ind w:firstLine="709"/>
        <w:jc w:val="both"/>
        <w:rPr>
          <w:lang w:val="bg-BG"/>
        </w:rPr>
      </w:pPr>
      <w:r w:rsidRPr="007E015D">
        <w:t xml:space="preserve">Като първи етап от изграждането на борсата, „Газов Хъб Балкан” ЕАД предостави на участниците на пазара на природен газ в България и региона възможност да използват търговска платформа със софтуерни услуги за енергийна борсова търговия </w:t>
      </w:r>
      <w:r w:rsidRPr="007E015D">
        <w:rPr>
          <w:lang w:val="bg-BG"/>
        </w:rPr>
        <w:t xml:space="preserve">на едро, изградена съгласно изискванията на чл. 10 от Регламент (ЕС) № 312/2014 за установяване на Мрежов кодекс за балансиране на газопреносните мрежи. На 2 януари 2020 г. на платформата за търговия на Газов хъб „Балкан” ЕАД стартира и многостранна търговия, в т.ч. краткосрочен сегмент (spot), дългосрочен сегмент и брокерска услуга. </w:t>
      </w:r>
    </w:p>
    <w:p w14:paraId="21EAA930" w14:textId="77777777" w:rsidR="00357377" w:rsidRPr="007E015D" w:rsidRDefault="00357377" w:rsidP="007E015D">
      <w:pPr>
        <w:pStyle w:val="Default"/>
        <w:spacing w:line="276" w:lineRule="auto"/>
        <w:ind w:firstLine="709"/>
        <w:jc w:val="both"/>
        <w:rPr>
          <w:lang w:val="bg-BG"/>
        </w:rPr>
      </w:pPr>
    </w:p>
    <w:p w14:paraId="42694904" w14:textId="77777777" w:rsidR="00357377" w:rsidRPr="007E015D" w:rsidRDefault="00357377" w:rsidP="0040688C">
      <w:pPr>
        <w:pStyle w:val="Default"/>
        <w:numPr>
          <w:ilvl w:val="0"/>
          <w:numId w:val="30"/>
        </w:numPr>
        <w:spacing w:line="276" w:lineRule="auto"/>
        <w:ind w:left="0" w:firstLine="709"/>
        <w:jc w:val="both"/>
      </w:pPr>
      <w:r w:rsidRPr="007E015D">
        <w:t xml:space="preserve">Разширение капацитета на ПГХ „Чирен” </w:t>
      </w:r>
    </w:p>
    <w:p w14:paraId="5C22E93B"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В процес на изпълнение е и проектът за разширение на газовото хранилище в Чирен, който ще допринесе за гарантирането на сигурността на доставките на природен газ в страната и региона, както и за подобряване на конкуренцията и достъпа до природен газ от алтернативни източници. </w:t>
      </w:r>
    </w:p>
    <w:p w14:paraId="425A60EA"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Проектът за разширение капацитета на подземното газово находище (ПГХ) “Чирен” включва поетапно увеличаване на капацитетите на съхранение от 550 млн. м3 до 1 млрд. м3 и за добив и нагнетяване от 3.5 млн. м</w:t>
      </w:r>
      <w:r w:rsidRPr="0040688C">
        <w:rPr>
          <w:rFonts w:ascii="Times New Roman" w:hAnsi="Times New Roman" w:cs="Times New Roman"/>
          <w:color w:val="000000"/>
          <w:sz w:val="24"/>
          <w:szCs w:val="24"/>
          <w:vertAlign w:val="superscript"/>
        </w:rPr>
        <w:t>3</w:t>
      </w:r>
      <w:r w:rsidRPr="007E015D">
        <w:rPr>
          <w:rFonts w:ascii="Times New Roman" w:hAnsi="Times New Roman" w:cs="Times New Roman"/>
          <w:color w:val="000000"/>
          <w:sz w:val="24"/>
          <w:szCs w:val="24"/>
        </w:rPr>
        <w:t xml:space="preserve"> дневно до 8-10 млн. м</w:t>
      </w:r>
      <w:r w:rsidRPr="0040688C">
        <w:rPr>
          <w:rFonts w:ascii="Times New Roman" w:hAnsi="Times New Roman" w:cs="Times New Roman"/>
          <w:color w:val="000000"/>
          <w:sz w:val="24"/>
          <w:szCs w:val="24"/>
          <w:vertAlign w:val="superscript"/>
        </w:rPr>
        <w:t>3</w:t>
      </w:r>
      <w:r w:rsidRPr="007E015D">
        <w:rPr>
          <w:rFonts w:ascii="Times New Roman" w:hAnsi="Times New Roman" w:cs="Times New Roman"/>
          <w:color w:val="000000"/>
          <w:sz w:val="24"/>
          <w:szCs w:val="24"/>
        </w:rPr>
        <w:t xml:space="preserve"> дневно. Това ще превърне „Чирен“ в търговско хранилище със съществена роля за развитие на конкуренцията и за повишаване на ползите за потребителите на природен газ в условията на един интегриран и взаимосвързан регионален газов пазар. През 2022 г. проектът получи финансиране по Механизма за свързване на Европа за реализацията на строителни дейности по разширението в размер на близо 78 млн. евро. Включването на тези приоритетен проект на „Булгартрансгаз“ ЕАД в петия списък доказва стратегическата роля на българската газопреносна система за гарантиране сигурността на доставките и интегрирането на газовите пазари в региона. То ще подобри енергийната сигурност и ще стимулират диверсификацията на източниците и конкуренцията между доставчиците на газ. Реализацията на проекта ще допринесе и за намаляване на емисиите на парникови газове чрез създаването на условия за замяна с природен газ на използваните понастоящем въглища. </w:t>
      </w:r>
    </w:p>
    <w:p w14:paraId="2044BABD" w14:textId="77777777" w:rsidR="00357377" w:rsidRPr="007E015D" w:rsidRDefault="00357377" w:rsidP="0040688C">
      <w:pPr>
        <w:spacing w:before="120"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С Решение № 528 на Министерския съвет от 2 август 2023 г. е обявявен енергиен обект „газопровод, свързващ подземно газово хранилище (ПГХ) „Чирен” със съществуващата газопреносна мрежа на „Булгартрансгаз“ ЕАД в района на с. Бутан”, който ще бъде изграден на територията на общините Враца, Криводол, Борован, Мизия, Козлодуй и Хайредин, област Враца, за национален обект и за обект с национално значение.</w:t>
      </w:r>
      <w:r w:rsidR="0040688C">
        <w:rPr>
          <w:rFonts w:ascii="Times New Roman" w:hAnsi="Times New Roman" w:cs="Times New Roman"/>
          <w:color w:val="000000"/>
          <w:sz w:val="24"/>
          <w:szCs w:val="24"/>
        </w:rPr>
        <w:t xml:space="preserve"> </w:t>
      </w:r>
      <w:r w:rsidRPr="007E015D">
        <w:rPr>
          <w:rFonts w:ascii="Times New Roman" w:hAnsi="Times New Roman" w:cs="Times New Roman"/>
          <w:color w:val="000000"/>
          <w:sz w:val="24"/>
          <w:szCs w:val="24"/>
        </w:rPr>
        <w:t xml:space="preserve">Необходимите инвестиции за цялостното изграждане на проекта са в размер на 308 млн. евро. </w:t>
      </w:r>
    </w:p>
    <w:p w14:paraId="07BCB450"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На 22 юни 2022 г. „Булгартрансгаз“ ЕАД подписа грантово споразумение, с което по Механизма за свързване на Европа се отпуска безвъзмездно финансиране за изграждане на </w:t>
      </w:r>
      <w:r w:rsidRPr="007E015D">
        <w:rPr>
          <w:rFonts w:ascii="Times New Roman" w:hAnsi="Times New Roman" w:cs="Times New Roman"/>
          <w:color w:val="000000"/>
          <w:sz w:val="24"/>
          <w:szCs w:val="24"/>
        </w:rPr>
        <w:lastRenderedPageBreak/>
        <w:t xml:space="preserve">надземни съоръжения и прокарване на нови сондажи. Очакваната безвъзмездна помощ за строителство по надземните съоръжения и по сондажния фонд е в размер на 77 910 017 евро. </w:t>
      </w:r>
    </w:p>
    <w:p w14:paraId="6D5E17C2" w14:textId="77777777" w:rsidR="00357377" w:rsidRPr="007E015D" w:rsidRDefault="00357377" w:rsidP="00C341C8">
      <w:pPr>
        <w:pStyle w:val="Default"/>
        <w:spacing w:line="276" w:lineRule="auto"/>
        <w:ind w:firstLine="709"/>
        <w:jc w:val="both"/>
        <w:rPr>
          <w:lang w:val="bg-BG"/>
        </w:rPr>
      </w:pPr>
      <w:r w:rsidRPr="007E015D">
        <w:t xml:space="preserve">Газопроводът, свързващ ПГХ „Чирен“ със съществуващата газопреносна мрежа на „Булгартрансгаз“ ЕАД в района на с. Бутан, като част от проекта за разширение </w:t>
      </w:r>
      <w:r w:rsidRPr="007E015D">
        <w:rPr>
          <w:lang w:val="bg-BG"/>
        </w:rPr>
        <w:t xml:space="preserve">капацитета на газовото хранилище, ще бъде финансиран със собствени средства на дружеството. </w:t>
      </w:r>
    </w:p>
    <w:p w14:paraId="4DC25E3E" w14:textId="77777777" w:rsidR="00357377" w:rsidRPr="0040688C" w:rsidRDefault="00357377" w:rsidP="00C341C8">
      <w:pPr>
        <w:spacing w:after="0" w:line="276" w:lineRule="auto"/>
        <w:ind w:firstLine="709"/>
        <w:jc w:val="both"/>
        <w:rPr>
          <w:rFonts w:ascii="Times New Roman" w:hAnsi="Times New Roman" w:cs="Times New Roman"/>
          <w:sz w:val="24"/>
          <w:szCs w:val="24"/>
        </w:rPr>
      </w:pPr>
      <w:r w:rsidRPr="007E015D">
        <w:rPr>
          <w:rFonts w:ascii="Times New Roman" w:hAnsi="Times New Roman" w:cs="Times New Roman"/>
          <w:color w:val="000000"/>
          <w:sz w:val="24"/>
          <w:szCs w:val="24"/>
        </w:rPr>
        <w:t>Българската газопреносната система ще осигурява преноса на природен газ не само за българските потребители, но и на азербайджански и втечнен (LNG) газ от IGB към IBR и IBS, т.е. към Румъния и Сърбия и след тях - към Унгария и Централна Европа, т.е. тя е важен елемент от Коридора Север-Юг.</w:t>
      </w:r>
    </w:p>
    <w:p w14:paraId="34A6589A"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6CA1CAE2" w14:textId="77777777" w:rsidR="00357377" w:rsidRPr="00C341C8" w:rsidRDefault="00357377" w:rsidP="0040688C">
      <w:pPr>
        <w:pStyle w:val="Default"/>
        <w:numPr>
          <w:ilvl w:val="0"/>
          <w:numId w:val="30"/>
        </w:numPr>
        <w:spacing w:line="276" w:lineRule="auto"/>
        <w:ind w:left="0" w:firstLine="709"/>
        <w:jc w:val="both"/>
      </w:pPr>
      <w:r w:rsidRPr="00C341C8">
        <w:t xml:space="preserve">Рехабилитация и модернизация на националната газопреносна система </w:t>
      </w:r>
    </w:p>
    <w:p w14:paraId="15F1301F"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Комплексният проект за модернизация, рехабилитация и разширение на съществуващата газопреносна инфраструктура на територията на България се осъществява в 3 фази и включва следните видове дейности: модернизация и рехабилитация на компресорни станции; инспекции за установяване и характеризиране на състоянието на газопроводите; ремонт и подмяна на участъци от газопровода след инспекции; разширяване и модернизация на съществуващата газопреносна мрежа; внедряване на системи за оптимизиране на процеса на управление на техническото състояние на мрежата. Проектът е включен в петия списък с проекти от общ интерес, приет от Европейската комисия на 19.11.2021 г. </w:t>
      </w:r>
    </w:p>
    <w:p w14:paraId="60CFDE04"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През 2018 г. приключи Фаза 1 от дейностите по проекта, с въвеждането в експлоатация на 20-километровата газопроводна отсечка в участъка КС „Лозенец” – ОС „Недялско”. </w:t>
      </w:r>
    </w:p>
    <w:p w14:paraId="2185279B"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Изпълнението на Фаза 2 на проекта се финансира по две сключени споразумения по Механизма за свързване на Европа, с общ размер на гранта – до 1 032 000 евро за прединвестиционни дейности, и 27 185 000 евро за строително-монтажни дейности. </w:t>
      </w:r>
    </w:p>
    <w:p w14:paraId="0C4D2B38"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През януари 2022 г. е въведен в експлоатация преносният газопровод „ОС „Беглеж“ – КВ „Дерманци“ – КВ „Батулци“ – КВ „Калугерово“ (58 км.). </w:t>
      </w:r>
    </w:p>
    <w:p w14:paraId="077FC8E2" w14:textId="77777777" w:rsidR="00357377" w:rsidRPr="000F07F8" w:rsidRDefault="00357377" w:rsidP="00C341C8">
      <w:pPr>
        <w:spacing w:after="0" w:line="276" w:lineRule="auto"/>
        <w:ind w:firstLine="709"/>
        <w:jc w:val="both"/>
        <w:rPr>
          <w:rFonts w:ascii="Times New Roman" w:hAnsi="Times New Roman" w:cs="Times New Roman"/>
          <w:sz w:val="24"/>
          <w:szCs w:val="24"/>
        </w:rPr>
      </w:pPr>
      <w:r w:rsidRPr="007E015D">
        <w:rPr>
          <w:rFonts w:ascii="Times New Roman" w:hAnsi="Times New Roman" w:cs="Times New Roman"/>
          <w:color w:val="000000"/>
          <w:sz w:val="24"/>
          <w:szCs w:val="24"/>
        </w:rPr>
        <w:t>С приключването през м. юли 2022 г. на строителните дейности за подмяна на участъка от ОС „Вълчи дол“ – ЛКВ „Преселка“ (23 км.) завърши изпълнението на всички дейности от Фаза 2 на проекта.</w:t>
      </w:r>
    </w:p>
    <w:p w14:paraId="4C4A28CB"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540BD168" w14:textId="77777777" w:rsidR="00357377" w:rsidRPr="00C341C8" w:rsidRDefault="00357377" w:rsidP="000F07F8">
      <w:pPr>
        <w:pStyle w:val="Default"/>
        <w:numPr>
          <w:ilvl w:val="0"/>
          <w:numId w:val="30"/>
        </w:numPr>
        <w:spacing w:line="276" w:lineRule="auto"/>
        <w:ind w:left="0" w:firstLine="709"/>
        <w:jc w:val="both"/>
      </w:pPr>
      <w:r w:rsidRPr="00C341C8">
        <w:t xml:space="preserve">„Н2 Interconnection Bulgaria-Greece” </w:t>
      </w:r>
    </w:p>
    <w:p w14:paraId="646D5E91"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Проектът за водороден интерконектор България ‒ Гърция с организатор от българска страна „Булгартрансгаз" ЕАД е част от тематична област "Водород и електролизьори". </w:t>
      </w:r>
    </w:p>
    <w:p w14:paraId="52D1CE12" w14:textId="77777777" w:rsidR="00357377" w:rsidRPr="007E015D" w:rsidRDefault="00357377" w:rsidP="00C341C8">
      <w:pPr>
        <w:spacing w:after="0" w:line="276" w:lineRule="auto"/>
        <w:ind w:firstLine="709"/>
        <w:jc w:val="both"/>
        <w:rPr>
          <w:rFonts w:ascii="Times New Roman" w:hAnsi="Times New Roman" w:cs="Times New Roman"/>
          <w:color w:val="FF0000"/>
          <w:sz w:val="24"/>
          <w:szCs w:val="24"/>
        </w:rPr>
      </w:pPr>
      <w:r w:rsidRPr="007E015D">
        <w:rPr>
          <w:rFonts w:ascii="Times New Roman" w:hAnsi="Times New Roman" w:cs="Times New Roman"/>
          <w:color w:val="000000"/>
          <w:sz w:val="24"/>
          <w:szCs w:val="24"/>
        </w:rPr>
        <w:t>Инфраструктурата на българска територия е свързана с проект на гръцкия оператор DESFA S.A. за водородопреносна мрежа на гръцка територия в група „Н2 Interconnection Bulgaria-Greece”.</w:t>
      </w:r>
    </w:p>
    <w:p w14:paraId="55DB69DF"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lastRenderedPageBreak/>
        <w:t xml:space="preserve">Проектът ще има важен принос за реализирането на югоизточния приоритетен коридор, който ще осигури маршрут за пренос на зелен водород от Югоизточна до Централна Европа ‒ както от местно производство, така и от внос. Проектът предвижда изграждането на инфраструктура, предназначена за транспортиране на 100% водород. Тя включва тръбопровод с DN 1000 и дължина около 250 км и две компресорни станции. Очакваният срок за въвеждане в експлоатация на инфраструктурата е до края на 2029 г. </w:t>
      </w:r>
    </w:p>
    <w:p w14:paraId="5D7967FA" w14:textId="77777777" w:rsidR="00357377" w:rsidRPr="007E015D" w:rsidRDefault="00357377" w:rsidP="000F07F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Проектът представлява важен етап от развитието на H2 мрежата в региона. Планираната инфраструктура се предвижда да стимулира процеса на широкомащабно внедряване на водорода както в България, така и в региона на Югоизточна Европа. </w:t>
      </w:r>
    </w:p>
    <w:p w14:paraId="1596C51A" w14:textId="77777777" w:rsidR="00357377" w:rsidRPr="007E015D" w:rsidRDefault="00357377" w:rsidP="000F07F8">
      <w:pPr>
        <w:spacing w:after="0" w:line="276" w:lineRule="auto"/>
        <w:ind w:firstLine="709"/>
        <w:jc w:val="both"/>
        <w:rPr>
          <w:rFonts w:ascii="Times New Roman" w:hAnsi="Times New Roman" w:cs="Times New Roman"/>
          <w:color w:val="FF0000"/>
          <w:sz w:val="24"/>
          <w:szCs w:val="24"/>
        </w:rPr>
      </w:pPr>
      <w:r w:rsidRPr="007E015D">
        <w:rPr>
          <w:rFonts w:ascii="Times New Roman" w:hAnsi="Times New Roman" w:cs="Times New Roman"/>
          <w:color w:val="000000"/>
          <w:sz w:val="24"/>
          <w:szCs w:val="24"/>
        </w:rPr>
        <w:t>Изграждането на водородопреносна инфраструктура в България ще има каталитичен ефект за реализиране на мащабни инвестиции, включително във връзка с проекти, заложени в Националната пътна карта за подобряване на условията за разгръщане на потенциала за развитие на водородните технологии и механизмите за производство и доставка на водород.</w:t>
      </w:r>
    </w:p>
    <w:p w14:paraId="541443C5"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Очаква се планираната H2 инфраструктура да допринесе за устойчивия икономически растеж, декарбонизацията на икономиката и енергетиката, заетостта и конкурентоспособността на индустрията в България и региона. </w:t>
      </w:r>
    </w:p>
    <w:p w14:paraId="2878C7CA"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Проектът отговаря на всички приложими технически, общи и специфични критерии към проектните предложения в областта на пренос на водород, произтичащи от Регламент (ЕС) 2022/869 за трансевропейската енергийна инфраструктура. </w:t>
      </w:r>
    </w:p>
    <w:p w14:paraId="3C956773" w14:textId="77777777" w:rsidR="00357377" w:rsidRDefault="00357377" w:rsidP="007E015D">
      <w:pPr>
        <w:pStyle w:val="Default"/>
        <w:spacing w:line="276" w:lineRule="auto"/>
        <w:ind w:firstLine="709"/>
        <w:jc w:val="both"/>
        <w:rPr>
          <w:lang w:val="bg-BG"/>
        </w:rPr>
      </w:pPr>
      <w:r w:rsidRPr="007E015D">
        <w:t xml:space="preserve">Включването на предложения от „Булгартрансгаз“ ЕАД проект в VІ-тия списък от Проектите от общ интерс и е от съществена важност за успешното му и навременно </w:t>
      </w:r>
      <w:r w:rsidRPr="007E015D">
        <w:rPr>
          <w:lang w:val="bg-BG"/>
        </w:rPr>
        <w:t xml:space="preserve">изпълнение по ефективен начин и за реализирането на приоритетния Югоизточен водороден коридор. </w:t>
      </w:r>
    </w:p>
    <w:p w14:paraId="4AAE832A" w14:textId="77777777" w:rsidR="00C341C8" w:rsidRPr="007E015D" w:rsidRDefault="00C341C8" w:rsidP="007E015D">
      <w:pPr>
        <w:pStyle w:val="Default"/>
        <w:spacing w:line="276" w:lineRule="auto"/>
        <w:ind w:firstLine="709"/>
        <w:jc w:val="both"/>
        <w:rPr>
          <w:lang w:val="bg-BG"/>
        </w:rPr>
      </w:pPr>
    </w:p>
    <w:p w14:paraId="23EABAAD" w14:textId="77777777" w:rsidR="00357377" w:rsidRPr="00C341C8" w:rsidRDefault="00357377" w:rsidP="007E015D">
      <w:pPr>
        <w:autoSpaceDE w:val="0"/>
        <w:autoSpaceDN w:val="0"/>
        <w:adjustRightInd w:val="0"/>
        <w:spacing w:after="0" w:line="276" w:lineRule="auto"/>
        <w:ind w:firstLine="709"/>
        <w:jc w:val="both"/>
        <w:rPr>
          <w:rFonts w:ascii="Times New Roman" w:hAnsi="Times New Roman" w:cs="Times New Roman"/>
          <w:sz w:val="24"/>
          <w:szCs w:val="24"/>
        </w:rPr>
      </w:pPr>
      <w:r w:rsidRPr="00C341C8">
        <w:rPr>
          <w:rFonts w:ascii="Times New Roman" w:hAnsi="Times New Roman" w:cs="Times New Roman"/>
          <w:i/>
          <w:iCs/>
          <w:sz w:val="24"/>
          <w:szCs w:val="24"/>
        </w:rPr>
        <w:t xml:space="preserve">ii. Ако е приложимо, главни разглеждани инфраструктурни проекти, различни от проектите от общ интерес (ПОИ) </w:t>
      </w:r>
    </w:p>
    <w:p w14:paraId="7F083F35"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Изграждане на нов двоен междусистемен електропровод 400 kV между Република България и Република Сърбия" </w:t>
      </w:r>
    </w:p>
    <w:p w14:paraId="7A6DD594"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Изграждане на нов междусистемен електропровод 400 kV между България и Турция; </w:t>
      </w:r>
    </w:p>
    <w:p w14:paraId="62A77C62"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Изграждане на нови вътрешни електропроводи 400 kV между възлова станция Ветрен и п/ст Благоевград и между п/ст Царевец и п/ст Пловдив; </w:t>
      </w:r>
    </w:p>
    <w:p w14:paraId="4E5BB1EA"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Модернизация и разширение на елементи от вътрешната електропреносна мрежа и на системите за управление за повишаване на ефективността, гъвкавостта, сигурността на снабдяването; </w:t>
      </w:r>
    </w:p>
    <w:p w14:paraId="2EC53095"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Присъединяване на нови ниско и беземисионни електроенергийни източници. </w:t>
      </w:r>
    </w:p>
    <w:p w14:paraId="5DE57E0C" w14:textId="77777777" w:rsidR="00C341C8" w:rsidRPr="00C341C8" w:rsidRDefault="00C341C8" w:rsidP="007E015D">
      <w:pPr>
        <w:autoSpaceDE w:val="0"/>
        <w:autoSpaceDN w:val="0"/>
        <w:adjustRightInd w:val="0"/>
        <w:spacing w:after="0" w:line="276" w:lineRule="auto"/>
        <w:ind w:firstLine="709"/>
        <w:jc w:val="both"/>
        <w:rPr>
          <w:rFonts w:ascii="Times New Roman" w:hAnsi="Times New Roman" w:cs="Times New Roman"/>
          <w:sz w:val="24"/>
          <w:szCs w:val="24"/>
        </w:rPr>
      </w:pPr>
    </w:p>
    <w:p w14:paraId="48217BDC" w14:textId="77777777" w:rsidR="00357377" w:rsidRPr="00C341C8" w:rsidRDefault="00357377" w:rsidP="007E015D">
      <w:pPr>
        <w:autoSpaceDE w:val="0"/>
        <w:autoSpaceDN w:val="0"/>
        <w:adjustRightInd w:val="0"/>
        <w:spacing w:after="0" w:line="276" w:lineRule="auto"/>
        <w:ind w:firstLine="709"/>
        <w:jc w:val="both"/>
        <w:rPr>
          <w:rFonts w:ascii="Times New Roman" w:hAnsi="Times New Roman" w:cs="Times New Roman"/>
          <w:b/>
          <w:sz w:val="24"/>
          <w:szCs w:val="24"/>
          <w:u w:val="single"/>
        </w:rPr>
      </w:pPr>
      <w:r w:rsidRPr="00C341C8">
        <w:rPr>
          <w:rFonts w:ascii="Times New Roman" w:hAnsi="Times New Roman" w:cs="Times New Roman"/>
          <w:b/>
          <w:sz w:val="24"/>
          <w:szCs w:val="24"/>
          <w:u w:val="single"/>
        </w:rPr>
        <w:t xml:space="preserve">Интеграция на пазара </w:t>
      </w:r>
    </w:p>
    <w:p w14:paraId="4799772C" w14:textId="77777777" w:rsidR="00357377" w:rsidRPr="00C341C8" w:rsidRDefault="00357377" w:rsidP="007E015D">
      <w:pPr>
        <w:spacing w:before="120" w:after="0" w:line="276" w:lineRule="auto"/>
        <w:ind w:firstLine="709"/>
        <w:jc w:val="both"/>
        <w:rPr>
          <w:rFonts w:ascii="Times New Roman" w:hAnsi="Times New Roman" w:cs="Times New Roman"/>
          <w:sz w:val="24"/>
          <w:szCs w:val="24"/>
        </w:rPr>
      </w:pPr>
      <w:r w:rsidRPr="00C341C8">
        <w:rPr>
          <w:rFonts w:ascii="Times New Roman" w:hAnsi="Times New Roman" w:cs="Times New Roman"/>
          <w:i/>
          <w:iCs/>
          <w:sz w:val="24"/>
          <w:szCs w:val="24"/>
        </w:rPr>
        <w:lastRenderedPageBreak/>
        <w:t>i. Национални общи цели, свързани с други аспекти на вътрешния енергиен пазар, като например повишаване на гъвкавостта на системата, по-специално чрез насърчаване на цени на електроенергията, които се определят от конкуренцията съгласно съответното секторно законодателство, интегрирането и обединяването на пазари, с цел увеличаване на търгуемия капацитет на съществуващите междусистемни електропроводи, интелигентни мрежи, групиране, оптимизация на потреблението, съхранение, разпределено производство на електроенергия, механизми за разпределение, преразпределение или съкращаване и ценови сигнали в реално време, включително график за постигане на целите</w:t>
      </w:r>
    </w:p>
    <w:p w14:paraId="657D9B10"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b/>
          <w:bCs/>
          <w:color w:val="000000"/>
          <w:sz w:val="24"/>
          <w:szCs w:val="24"/>
        </w:rPr>
        <w:t xml:space="preserve">Либерализация на пазара на електрическа енергия </w:t>
      </w:r>
    </w:p>
    <w:p w14:paraId="1EB2AAFA"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През последните години бяха въведени редица законодателни промени за либерализиране на българския електроенергиен пазар. Производителите на електрическа енергия се характеризират с множество пазарни предимства, произтичащи от разнообразието от продукти, които могат да предоставят на либерализирания пазар, конкурентни цени и гъвкавост. </w:t>
      </w:r>
    </w:p>
    <w:p w14:paraId="4755FD74"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С промените в Закона за енергетика значително се промениха условията, в които участниците на пазара на електроенергия в страната, включително и Обществения доставчик на електрическа енергия, извършват дейността си. Обхватът на регулирания пазар значително намаля за сметка на увеличение на относителния дял на свободния пазар. Всички сделки за покупко-продажба на електрическа енергия се извършват през платформите на БНЕБ ЕАД, за да се постигне максимална прозрачност при търговията. </w:t>
      </w:r>
    </w:p>
    <w:p w14:paraId="48E933AA"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В съответствие с Третия либерализационен пакет на ЕК, България предприе стъпки към пълна либерализация на пазара на електрическа енергия. В резултат на законови промени от началото на 2018 г., цялото количество произведена електрическа енергия предназначено за свободния пазар се търгува единствено на търговските платформите на БНЕБ. С приетия на 17.11.2023 г. ЗИД на ЗЕ се извършват следните основни промени: </w:t>
      </w:r>
    </w:p>
    <w:p w14:paraId="356FE982" w14:textId="77777777" w:rsidR="00357377" w:rsidRPr="00C341C8" w:rsidRDefault="00357377" w:rsidP="00C341C8">
      <w:pPr>
        <w:spacing w:after="0" w:line="276" w:lineRule="auto"/>
        <w:ind w:firstLine="709"/>
        <w:jc w:val="both"/>
        <w:rPr>
          <w:rFonts w:ascii="Times New Roman" w:hAnsi="Times New Roman" w:cs="Times New Roman"/>
          <w:sz w:val="24"/>
          <w:szCs w:val="24"/>
        </w:rPr>
      </w:pPr>
      <w:r w:rsidRPr="007E015D">
        <w:rPr>
          <w:rFonts w:ascii="Times New Roman" w:hAnsi="Times New Roman" w:cs="Times New Roman"/>
          <w:color w:val="000000"/>
          <w:sz w:val="24"/>
          <w:szCs w:val="24"/>
        </w:rPr>
        <w:t xml:space="preserve">1) Осъществява се пълна либерализация на пазара на едро на електрическа енергия до 30 юни </w:t>
      </w:r>
      <w:r w:rsidRPr="00C341C8">
        <w:rPr>
          <w:rFonts w:ascii="Times New Roman" w:hAnsi="Times New Roman" w:cs="Times New Roman"/>
          <w:sz w:val="24"/>
          <w:szCs w:val="24"/>
        </w:rPr>
        <w:t>2024 г. при запазване на битовите потребители на регулиран пазар до началото на 2026 г.</w:t>
      </w:r>
    </w:p>
    <w:p w14:paraId="215DF785"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2) Регламентирани са нови участници на пазара на електрическа енергия - граждански енергийни общности, активни клиенти и агрегатори. Също така се допълват мерки за защита на потребителите на енергийни услуги чрез възможност за сключване на договори с фиксиран срок и на фиксирана цена и на договори с динамична цена на електрическата енергия – за клиенти с инсталирано интелигентно измервателно средство за търговско измерване; </w:t>
      </w:r>
    </w:p>
    <w:p w14:paraId="2CED743F"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3) Регламентират се взаимоотношенията по дългосрочните договори за изкупуване на електрическа енергия сключени между НЕК ЕАД, в качеството му на обществен доставчик с производители на електрическа енергия от въглищни централи след отпадане на функцията на обществения доставчик, както и реализацията на закупената по тези договори електрическа енергия на свободния пазар. Не се допуска да бъдат удължавани </w:t>
      </w:r>
      <w:r w:rsidRPr="007E015D">
        <w:rPr>
          <w:rFonts w:ascii="Times New Roman" w:hAnsi="Times New Roman" w:cs="Times New Roman"/>
          <w:color w:val="000000"/>
          <w:sz w:val="24"/>
          <w:szCs w:val="24"/>
        </w:rPr>
        <w:lastRenderedPageBreak/>
        <w:t xml:space="preserve">сроковете на действие на съществуващите дългосрочни договори, след тяхното изтичане съответно през 2024 г. и 2026 г., както и да се сключват други дългосрочни договори с такива производители; </w:t>
      </w:r>
    </w:p>
    <w:p w14:paraId="2C9160F1" w14:textId="77777777" w:rsidR="00357377" w:rsidRPr="007E015D" w:rsidRDefault="00357377" w:rsidP="00C341C8">
      <w:pPr>
        <w:spacing w:after="0" w:line="276" w:lineRule="auto"/>
        <w:ind w:firstLine="709"/>
        <w:jc w:val="both"/>
        <w:rPr>
          <w:rFonts w:ascii="Times New Roman" w:hAnsi="Times New Roman" w:cs="Times New Roman"/>
          <w:color w:val="FF0000"/>
          <w:sz w:val="24"/>
          <w:szCs w:val="24"/>
        </w:rPr>
      </w:pPr>
      <w:r w:rsidRPr="007E015D">
        <w:rPr>
          <w:rFonts w:ascii="Times New Roman" w:hAnsi="Times New Roman" w:cs="Times New Roman"/>
          <w:color w:val="000000"/>
          <w:sz w:val="24"/>
          <w:szCs w:val="24"/>
        </w:rPr>
        <w:t>4) Въведени са дефиниции и критерии за определяне на „домакинства в положение на енергийна бедност" и на „уязвими клиенти за снабдяване с електрическа енергия“ за целите на либерализацията на пазара на електрическа енергия и прилагане на мерки за подпомагане на домакинствата в положение на енергийна бедност, в т. ч. и приоритетно им третиране при прилагане на програми за повишаване енергийната ефективност на жилищни сгради.</w:t>
      </w:r>
    </w:p>
    <w:p w14:paraId="6040BF09" w14:textId="77777777" w:rsidR="00C341C8" w:rsidRDefault="00C341C8" w:rsidP="00C341C8">
      <w:pPr>
        <w:autoSpaceDE w:val="0"/>
        <w:autoSpaceDN w:val="0"/>
        <w:adjustRightInd w:val="0"/>
        <w:spacing w:after="0" w:line="276" w:lineRule="auto"/>
        <w:ind w:firstLine="709"/>
        <w:jc w:val="both"/>
        <w:rPr>
          <w:rFonts w:ascii="Times New Roman" w:hAnsi="Times New Roman" w:cs="Times New Roman"/>
          <w:b/>
          <w:bCs/>
          <w:color w:val="000000"/>
          <w:sz w:val="24"/>
          <w:szCs w:val="24"/>
        </w:rPr>
      </w:pPr>
    </w:p>
    <w:p w14:paraId="2EEDB308"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b/>
          <w:bCs/>
          <w:color w:val="000000"/>
          <w:sz w:val="24"/>
          <w:szCs w:val="24"/>
        </w:rPr>
        <w:t xml:space="preserve">Въвеждане на пазар в рамките на деня </w:t>
      </w:r>
    </w:p>
    <w:p w14:paraId="6FFA0FEC"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През 2018 г. стартира пазар „в рамките на деня“, който е свързващото звено между дългосрочното договаряне, пазарът за краткосрочни сделки „ден напред“ и пазарът в реално време – балансиращият пазар. С въвеждането му е изградена цялостната структура на пазара в България - такава, каквато съществува на повечето Европейски пазари, позволяваща на участниците да променят договорните си позиции, съгласно прогнозата за производство или консумация, максимално близо до реалния час на търговия. </w:t>
      </w:r>
    </w:p>
    <w:p w14:paraId="6741BEA7" w14:textId="77777777" w:rsidR="00C341C8" w:rsidRDefault="00C341C8" w:rsidP="00C341C8">
      <w:pPr>
        <w:spacing w:after="0" w:line="276" w:lineRule="auto"/>
        <w:ind w:firstLine="709"/>
        <w:jc w:val="both"/>
        <w:rPr>
          <w:rFonts w:ascii="Times New Roman" w:hAnsi="Times New Roman" w:cs="Times New Roman"/>
          <w:b/>
          <w:bCs/>
          <w:color w:val="000000"/>
          <w:sz w:val="24"/>
          <w:szCs w:val="24"/>
        </w:rPr>
      </w:pPr>
    </w:p>
    <w:p w14:paraId="603BF87D" w14:textId="77777777" w:rsidR="00357377" w:rsidRPr="00C12E60" w:rsidRDefault="00357377" w:rsidP="00C341C8">
      <w:pPr>
        <w:spacing w:after="0" w:line="276" w:lineRule="auto"/>
        <w:ind w:firstLine="709"/>
        <w:jc w:val="both"/>
        <w:rPr>
          <w:rFonts w:ascii="Times New Roman" w:hAnsi="Times New Roman" w:cs="Times New Roman"/>
          <w:sz w:val="24"/>
          <w:szCs w:val="24"/>
        </w:rPr>
      </w:pPr>
      <w:r w:rsidRPr="007E015D">
        <w:rPr>
          <w:rFonts w:ascii="Times New Roman" w:hAnsi="Times New Roman" w:cs="Times New Roman"/>
          <w:b/>
          <w:bCs/>
          <w:color w:val="000000"/>
          <w:sz w:val="24"/>
          <w:szCs w:val="24"/>
        </w:rPr>
        <w:t>Участие в интеграционните процеси</w:t>
      </w:r>
    </w:p>
    <w:p w14:paraId="77B8BBDB"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EСО ЕАД, заедно с всички оператори на преносни мрежи в Европа, в съответствие с изискванията на Регламент ЕС 2015/1222, подписа през м. май 2018 г. Споразумението за координирано осъществяване на функцията по единното свързване на пазарите в рамките на деня между ОПС и НОПЕ (IDOA) и Споразумението за сътрудничество между ОПС (TCID), като по този начин стартира участието му, заедно с БНЕБ в процеса по интегриране на българска граница с общия европейски пазар в рамките на проект XBID за времеви хоризонт в рамките на деня. </w:t>
      </w:r>
    </w:p>
    <w:p w14:paraId="050BC8B5"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България е част от регионалния проект LIP 15 и от ноември 2019 г. страната има оперативен, обединен пазар „В рамките на деня“ през границата между България и Румъния. С тази стъпка, българо-румънската граница е първата граница, на която преносната способност ще се разпределя по имплицитен начин, за времеви хоризонт „в рамките на деня“, в рамките на обединен европейски регион. </w:t>
      </w:r>
    </w:p>
    <w:p w14:paraId="301F7CE1" w14:textId="77777777" w:rsidR="00357377" w:rsidRPr="007E015D" w:rsidRDefault="00357377" w:rsidP="00C341C8">
      <w:pPr>
        <w:spacing w:after="0" w:line="276" w:lineRule="auto"/>
        <w:ind w:firstLine="709"/>
        <w:jc w:val="both"/>
        <w:rPr>
          <w:rFonts w:ascii="Times New Roman" w:hAnsi="Times New Roman" w:cs="Times New Roman"/>
          <w:color w:val="FF0000"/>
          <w:sz w:val="24"/>
          <w:szCs w:val="24"/>
        </w:rPr>
      </w:pPr>
      <w:r w:rsidRPr="007E015D">
        <w:rPr>
          <w:rFonts w:ascii="Times New Roman" w:hAnsi="Times New Roman" w:cs="Times New Roman"/>
          <w:color w:val="000000"/>
          <w:sz w:val="24"/>
          <w:szCs w:val="24"/>
        </w:rPr>
        <w:t xml:space="preserve">Номинираните оператори на пазара на електроенергия (НОПЕ) и Операторите на преносни системи (ОПС), участващи в пазарното обединение “В рамките на деня” (с предишно наименование XBID), обявяват, че считано от 1 октомври 2022 г. (ден на доставка) на румънско-българската граница се предлагат 15-минутни продукти. 3 години след като България и Румъния се присъединяват към SIDC като част от втората вълна на присъединяване и след като Румъния започва да предлага 15-минутни продукти на пазар “В рамките на деня” през февруари 2021 г., това е поредна важна стъпка към по-добра пазарна интеграция на ВЕИ. Въвеждането на продукти с по-кратък срок на доставка за непрекъсната търговия на тази граница ще осигури на българските пазарни участници достъп до </w:t>
      </w:r>
      <w:r w:rsidRPr="007E015D">
        <w:rPr>
          <w:rFonts w:ascii="Times New Roman" w:hAnsi="Times New Roman" w:cs="Times New Roman"/>
          <w:color w:val="000000"/>
          <w:sz w:val="24"/>
          <w:szCs w:val="24"/>
        </w:rPr>
        <w:lastRenderedPageBreak/>
        <w:t>наличната ликвидност от 15-минутни продукти, позволявайки им по-добре да адаптират търговските си позиции на този пазар. По този начин оферта за 15-минутен продукт ще се съпоставя с друга оферта за 15-минутен продукт във вече обединените пазари “В рамките на деня” в Австрия, Германия, Нидерландия, Белгия, Унгария, Румъния и Словения.</w:t>
      </w:r>
    </w:p>
    <w:p w14:paraId="43069543"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SIDC към момента обединява пазарите за непрекъсната търговия “В рамките на деня” на 23 страни: Австрия, Белгия, България, Хърватия, Чехия, Дания, Естония, Финландия, Франция, Германия, Унгария, Италия, Латвия, Литва, Люксембург, Норвегия, Нидерландия, Полша, Португалия, Румъния, Словения, Испания и Швеция. </w:t>
      </w:r>
    </w:p>
    <w:p w14:paraId="6E98F6CA"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За времеви хоризонт „ден напред“ е стартиран проект за пазарно обединение на българо-гръцка граница. ЕСО, БНЕБ и гръцките оператори (IPTO, HEnEx) отправиха писмо до регулаторите на двете държави за одобрение и включване на българо-гръцката граница към регионален проект Обединение на италианските граници (IBWT-Italian Border Working Table). Пазарното обединение „ден напред“ с Гърция стартира в реална работа на 11.05.2021 г., като на тази граница имаме имплицитно разпределение на преносен капацитет. </w:t>
      </w:r>
    </w:p>
    <w:p w14:paraId="7D40A036" w14:textId="77777777" w:rsidR="00C341C8" w:rsidRDefault="00C341C8" w:rsidP="00C341C8">
      <w:pPr>
        <w:autoSpaceDE w:val="0"/>
        <w:autoSpaceDN w:val="0"/>
        <w:adjustRightInd w:val="0"/>
        <w:spacing w:after="0" w:line="276" w:lineRule="auto"/>
        <w:ind w:firstLine="709"/>
        <w:jc w:val="both"/>
        <w:rPr>
          <w:rFonts w:ascii="Times New Roman" w:hAnsi="Times New Roman" w:cs="Times New Roman"/>
          <w:b/>
          <w:bCs/>
          <w:color w:val="000000"/>
          <w:sz w:val="24"/>
          <w:szCs w:val="24"/>
        </w:rPr>
      </w:pPr>
    </w:p>
    <w:p w14:paraId="334F2922" w14:textId="77777777" w:rsidR="00357377" w:rsidRPr="007E015D" w:rsidRDefault="00C341C8"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Pr>
          <w:rFonts w:ascii="Times New Roman" w:hAnsi="Times New Roman" w:cs="Times New Roman"/>
          <w:b/>
          <w:bCs/>
          <w:color w:val="000000"/>
          <w:sz w:val="24"/>
          <w:szCs w:val="24"/>
        </w:rPr>
        <w:t>„</w:t>
      </w:r>
      <w:r w:rsidR="00357377" w:rsidRPr="007E015D">
        <w:rPr>
          <w:rFonts w:ascii="Times New Roman" w:hAnsi="Times New Roman" w:cs="Times New Roman"/>
          <w:b/>
          <w:bCs/>
          <w:color w:val="000000"/>
          <w:sz w:val="24"/>
          <w:szCs w:val="24"/>
        </w:rPr>
        <w:t xml:space="preserve">Модел на балансиране и балансиране на ВИ </w:t>
      </w:r>
    </w:p>
    <w:p w14:paraId="7EE9DE61" w14:textId="77777777" w:rsidR="00357377" w:rsidRPr="007E015D" w:rsidRDefault="00357377" w:rsidP="00C341C8">
      <w:pPr>
        <w:spacing w:after="0" w:line="276" w:lineRule="auto"/>
        <w:ind w:firstLine="709"/>
        <w:jc w:val="both"/>
        <w:rPr>
          <w:rFonts w:ascii="Times New Roman" w:hAnsi="Times New Roman" w:cs="Times New Roman"/>
          <w:color w:val="FF0000"/>
          <w:sz w:val="24"/>
          <w:szCs w:val="24"/>
        </w:rPr>
      </w:pPr>
      <w:r w:rsidRPr="007E015D">
        <w:rPr>
          <w:rFonts w:ascii="Times New Roman" w:hAnsi="Times New Roman" w:cs="Times New Roman"/>
          <w:color w:val="000000"/>
          <w:sz w:val="24"/>
          <w:szCs w:val="24"/>
        </w:rPr>
        <w:t>Моделът на балансиране в България е прозрачен, предвижда еднакви условия за балансиране, независимо от технологията на производство, големината на обектите и дали се снабдяват по регулирани или свободно-договорени цени.</w:t>
      </w:r>
    </w:p>
    <w:p w14:paraId="6D05380E"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Общата инсталирана мощност от ВИ е относително висока спрямо разполагаемите мощности в страната, а наличието и на две големи единични мощности в АЕЦ „Козлодуй“ ЕАД, всяка от 1 000 MW, в сравнително малка ЕЕС, са причина за поддържане на мощности в студен резерв, както и разполагаемост за предоставяне на допълнителни услуги (първично и вторично регулиране). Включването на потребителите в предоставянето на бавен третичен резерв, чрез намаляване на потреблението при дефицит на мощности в ЕЕС е реализирано чрез разработването на правила и проведения първи търг през октомври 2018 г. Това увеличава източниците на балансиране и потенциала от диспечируеми мощности, на разположение на оператора, съответно намалява разходите за балансиране. </w:t>
      </w:r>
    </w:p>
    <w:p w14:paraId="7C4464FF"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В изпълнение на реформа C4.R8: Либерализация на пазара на електроенергия от НПВУ са предприети конкретни действия за постигане на реформа на пазара на баласираща енергия, като са изпълнени следните основни цели: </w:t>
      </w:r>
    </w:p>
    <w:p w14:paraId="66E38AD6"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А) закупуването на балансираща мощност е пазарно ориентирано; </w:t>
      </w:r>
    </w:p>
    <w:p w14:paraId="42522BDA"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Б) цената на балансиращата енергия се публикува в рамките на 30 минути след затварянето на пазара в рамките на деня; </w:t>
      </w:r>
    </w:p>
    <w:p w14:paraId="65692A8D"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В) въвежда се единна цена за балансиране за периодите без задействане на балансираща енергия; </w:t>
      </w:r>
    </w:p>
    <w:p w14:paraId="0E9253B2"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Г) въвежда се 15-минутен период за уреждане на дисбаланса; </w:t>
      </w:r>
    </w:p>
    <w:p w14:paraId="1EA1796E" w14:textId="5F535596"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Д) не се определят пределни цени за балансиращата електроенергия. </w:t>
      </w:r>
    </w:p>
    <w:p w14:paraId="33BC396B" w14:textId="77777777" w:rsidR="00357377" w:rsidRPr="00A20EAA" w:rsidRDefault="00357377" w:rsidP="007E015D">
      <w:pPr>
        <w:spacing w:before="120" w:after="0" w:line="276" w:lineRule="auto"/>
        <w:ind w:firstLine="709"/>
        <w:jc w:val="both"/>
        <w:rPr>
          <w:rFonts w:ascii="Times New Roman" w:hAnsi="Times New Roman" w:cs="Times New Roman"/>
          <w:sz w:val="24"/>
          <w:szCs w:val="24"/>
        </w:rPr>
      </w:pPr>
      <w:r w:rsidRPr="007E015D">
        <w:rPr>
          <w:rFonts w:ascii="Times New Roman" w:hAnsi="Times New Roman" w:cs="Times New Roman"/>
          <w:color w:val="000000"/>
          <w:sz w:val="24"/>
          <w:szCs w:val="24"/>
        </w:rPr>
        <w:lastRenderedPageBreak/>
        <w:t>Посочените цели са реализирани чрез изменения в Закона за енергетиката и промени на вторичното законодателство (Правила за търговия с електрическа енергия, Методика за определяне на цени на балансираща енергия, Инструкции за известяване и валидиране на търговски и производствени граафици в пазарен сегмент „Ден напред“ и „В рамките на деня“ и др</w:t>
      </w:r>
      <w:r w:rsidRPr="00A20EAA">
        <w:rPr>
          <w:rFonts w:ascii="Times New Roman" w:hAnsi="Times New Roman" w:cs="Times New Roman"/>
          <w:sz w:val="24"/>
          <w:szCs w:val="24"/>
        </w:rPr>
        <w:t>.).</w:t>
      </w:r>
    </w:p>
    <w:p w14:paraId="56F38A26" w14:textId="77777777" w:rsidR="00C341C8" w:rsidRDefault="00C341C8" w:rsidP="007E015D">
      <w:pPr>
        <w:autoSpaceDE w:val="0"/>
        <w:autoSpaceDN w:val="0"/>
        <w:adjustRightInd w:val="0"/>
        <w:spacing w:after="0" w:line="276" w:lineRule="auto"/>
        <w:ind w:firstLine="709"/>
        <w:jc w:val="both"/>
        <w:rPr>
          <w:rFonts w:ascii="Times New Roman" w:hAnsi="Times New Roman" w:cs="Times New Roman"/>
          <w:b/>
          <w:bCs/>
          <w:color w:val="000000"/>
          <w:sz w:val="24"/>
          <w:szCs w:val="24"/>
        </w:rPr>
      </w:pPr>
    </w:p>
    <w:p w14:paraId="5807AA32"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b/>
          <w:bCs/>
          <w:color w:val="000000"/>
          <w:sz w:val="24"/>
          <w:szCs w:val="24"/>
        </w:rPr>
        <w:t xml:space="preserve">Агрегатори на обекти за участие на балансиращия пазар </w:t>
      </w:r>
    </w:p>
    <w:p w14:paraId="39192A90"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ЕСО стартира проект по програмата за структурни реформи на ЕС, за подпомагане на дейността по разработване на изискванията за регистрация на агрегатори, техническа свързаност със системите на ЕСО ЕАД и операторите на разпределителни електрически мрежи, комуникация между мрежовите оператори, определяне на предоставената регулираща енергия и разплащания. </w:t>
      </w:r>
    </w:p>
    <w:p w14:paraId="1582AD75" w14:textId="77777777" w:rsidR="00357377" w:rsidRPr="007E015D" w:rsidRDefault="00357377" w:rsidP="007E015D">
      <w:pPr>
        <w:pStyle w:val="Default"/>
        <w:spacing w:line="276" w:lineRule="auto"/>
        <w:ind w:firstLine="709"/>
        <w:jc w:val="both"/>
        <w:rPr>
          <w:lang w:val="bg-BG"/>
        </w:rPr>
      </w:pPr>
      <w:r w:rsidRPr="007E015D">
        <w:t xml:space="preserve">След въвеждането през 2016 г. на Стандартизирани товарови профили, битовите и небитовите клиенти на ниско напрежение могат да сменят своя доставчик на електрическа енергия и да сключват сделки по свободно договорени цени. Въпреки това, към момента сегментът от пазара за търговия по регулирани цени е значителен, с дял около 40% от нетното производство на електрическа енергия. </w:t>
      </w:r>
    </w:p>
    <w:p w14:paraId="51451E7F"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Поетапното премахване на регулираните цени за всички крайни потребители и на цените за производители ще доведе до увеличаване на конкуренцията между доставчиците на електрическа енергия. Пълната либерализация на пазара на електрическа енергия ще създаде условия за повишаване гъвкавостта на системата, чрез осигуряване условия за постигане на конкурентни цени и ще увеличи ликвидността на борсовия пазар на електрическа енергия. </w:t>
      </w:r>
    </w:p>
    <w:p w14:paraId="63AFC26E"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Пълната либерализация на пазара на електрическа енергия е предпоставка за постигане на целта за пълна интеграция на пазара на електрическа енергия към общия европейски енергиен пазар. </w:t>
      </w:r>
    </w:p>
    <w:p w14:paraId="68C2DD0F" w14:textId="77777777" w:rsidR="00C341C8" w:rsidRDefault="00C341C8" w:rsidP="00C341C8">
      <w:pPr>
        <w:autoSpaceDE w:val="0"/>
        <w:autoSpaceDN w:val="0"/>
        <w:adjustRightInd w:val="0"/>
        <w:spacing w:after="0" w:line="276" w:lineRule="auto"/>
        <w:ind w:firstLine="709"/>
        <w:jc w:val="both"/>
        <w:rPr>
          <w:rFonts w:ascii="Times New Roman" w:hAnsi="Times New Roman" w:cs="Times New Roman"/>
          <w:b/>
          <w:bCs/>
          <w:color w:val="000000"/>
          <w:sz w:val="24"/>
          <w:szCs w:val="24"/>
        </w:rPr>
      </w:pPr>
    </w:p>
    <w:p w14:paraId="16A78642"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b/>
          <w:bCs/>
          <w:color w:val="000000"/>
          <w:sz w:val="24"/>
          <w:szCs w:val="24"/>
        </w:rPr>
        <w:t xml:space="preserve">Интеграция и обединение на електроенергийните пазари </w:t>
      </w:r>
    </w:p>
    <w:p w14:paraId="33D6447B" w14:textId="77777777" w:rsidR="00357377" w:rsidRPr="00C12E60" w:rsidRDefault="00357377" w:rsidP="00C341C8">
      <w:pPr>
        <w:spacing w:after="0" w:line="276" w:lineRule="auto"/>
        <w:ind w:firstLine="709"/>
        <w:jc w:val="both"/>
        <w:rPr>
          <w:rFonts w:ascii="Times New Roman" w:hAnsi="Times New Roman" w:cs="Times New Roman"/>
          <w:sz w:val="24"/>
          <w:szCs w:val="24"/>
        </w:rPr>
      </w:pPr>
      <w:r w:rsidRPr="007E015D">
        <w:rPr>
          <w:rFonts w:ascii="Times New Roman" w:hAnsi="Times New Roman" w:cs="Times New Roman"/>
          <w:color w:val="000000"/>
          <w:sz w:val="24"/>
          <w:szCs w:val="24"/>
        </w:rPr>
        <w:t>За постигане на целите за междусистемна свързаност България е предприела конкретни мерки за повишаване интеграцията на електроенергийния пазар на регионално ниво. Страната планира да увеличи свързаността с Румъния, Гърция и Република Северна Македония, като проектите са в различна степен на реализация. Реализацията на някои от тези проекти зависи от развитието на електроенергийните пазари в гореспоменатите държави.</w:t>
      </w:r>
    </w:p>
    <w:p w14:paraId="3E0DE67F"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Регламент (ЕС) 2019/943 относно вътрешния пазар на електроенергия определя минималния наличен капацитет за трансгранична търговия на 70% от капацитета за пренос на електрическа енергия, като се спазват ограниченията за експлоатационна безопасност след отчитане на непредвидени ситуации, считано от 2026 г. Освен това, член 15 от Регламента предвижда изискването за разработване на конкретен план за действие за справяне с прага от 70%. </w:t>
      </w:r>
    </w:p>
    <w:p w14:paraId="36505860" w14:textId="77777777" w:rsidR="00357377" w:rsidRPr="007E015D" w:rsidRDefault="00357377" w:rsidP="00C12E60">
      <w:pPr>
        <w:spacing w:before="120"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lastRenderedPageBreak/>
        <w:t>В този контекст българският електропреносен оператор кандидатства за дерогация съгласно член 16, параграф 9 от Регламент (ЕС) 2019/943. Предоставянето на дерогация подлежи на одобрение след проведени регионални консултации с</w:t>
      </w:r>
      <w:r w:rsidR="00C12E60">
        <w:rPr>
          <w:rFonts w:ascii="Times New Roman" w:hAnsi="Times New Roman" w:cs="Times New Roman"/>
          <w:color w:val="000000"/>
          <w:sz w:val="24"/>
          <w:szCs w:val="24"/>
        </w:rPr>
        <w:t xml:space="preserve"> </w:t>
      </w:r>
      <w:r w:rsidRPr="007E015D">
        <w:rPr>
          <w:rFonts w:ascii="Times New Roman" w:hAnsi="Times New Roman" w:cs="Times New Roman"/>
          <w:color w:val="000000"/>
          <w:sz w:val="24"/>
          <w:szCs w:val="24"/>
        </w:rPr>
        <w:t xml:space="preserve">регулаторите органи на съседните страни. Периодът на дерогация е максимум 1 година. </w:t>
      </w:r>
    </w:p>
    <w:p w14:paraId="435B243B" w14:textId="77777777" w:rsidR="00C341C8" w:rsidRDefault="00C341C8" w:rsidP="007E015D">
      <w:pPr>
        <w:autoSpaceDE w:val="0"/>
        <w:autoSpaceDN w:val="0"/>
        <w:adjustRightInd w:val="0"/>
        <w:spacing w:after="0" w:line="276" w:lineRule="auto"/>
        <w:ind w:firstLine="709"/>
        <w:jc w:val="both"/>
        <w:rPr>
          <w:rFonts w:ascii="Times New Roman" w:hAnsi="Times New Roman" w:cs="Times New Roman"/>
          <w:b/>
          <w:bCs/>
          <w:color w:val="000000"/>
          <w:sz w:val="24"/>
          <w:szCs w:val="24"/>
        </w:rPr>
      </w:pPr>
    </w:p>
    <w:p w14:paraId="1A89BE9B"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b/>
          <w:bCs/>
          <w:color w:val="000000"/>
          <w:sz w:val="24"/>
          <w:szCs w:val="24"/>
        </w:rPr>
        <w:t xml:space="preserve">Либерализация на пазара на природен газ </w:t>
      </w:r>
    </w:p>
    <w:p w14:paraId="31620B9D"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Либерализацията на пазара на природен газ заема важно място в европейската енергийна политика и е свързана със стратегическите цели за подобряване сигурността на доставките и диверсификацията на източниците и маршрутите на доставка на природен газ, както и изграждане на взаимосвързан и единен общоевропейски газов пазар. Чрез разширяване на междусистемната газова свързаност, диверсификация на източниците за доставка на природен газ и създаването на газоразпределителен център ще се създадат реални условия за функциониране на ликвидна борса за търговия с природен газ. </w:t>
      </w:r>
    </w:p>
    <w:p w14:paraId="19644E92"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В настоящия момент България има две действащи лицензирани газови борси. Издадените лицензии са за максималния срок от 35 години. Двете газови борси работят с една и съща търговска платформа - Trayport Global Vision Trading System, продукт на компанията TrayportLimited UK, която е разработила най-разпространения и прилаган в световен мащаб софтуер за целите на администриране на сделки. </w:t>
      </w:r>
    </w:p>
    <w:p w14:paraId="3826E3EC"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Създадената през 2019 г. компания „Газов хъб Балкан“ ЕАД (БГХ ЕАД) изгражда, оперира и отговаря за функционирането на организирания пазар за търговия с природен газ на БГХ ЕАД. Електронната платформа със сегмент и за двустранна търговия предлага съвременни физически и финансови продукти, в т.ч. продукти за смяна на собствеността на борсов принцип на виртуална търговска точка (VTP) и на някои от физическите точки на мрежите, предоставени чрез паневропейската платформа PEGAS. </w:t>
      </w:r>
    </w:p>
    <w:p w14:paraId="4702A701" w14:textId="77777777" w:rsidR="00357377" w:rsidRPr="007E015D" w:rsidRDefault="00357377" w:rsidP="007E015D">
      <w:pPr>
        <w:spacing w:before="120" w:after="0" w:line="276" w:lineRule="auto"/>
        <w:ind w:firstLine="709"/>
        <w:jc w:val="both"/>
        <w:rPr>
          <w:rFonts w:ascii="Times New Roman" w:hAnsi="Times New Roman" w:cs="Times New Roman"/>
          <w:color w:val="FF0000"/>
          <w:sz w:val="24"/>
          <w:szCs w:val="24"/>
        </w:rPr>
      </w:pPr>
      <w:r w:rsidRPr="007E015D">
        <w:rPr>
          <w:rFonts w:ascii="Times New Roman" w:hAnsi="Times New Roman" w:cs="Times New Roman"/>
          <w:color w:val="000000"/>
          <w:sz w:val="24"/>
          <w:szCs w:val="24"/>
        </w:rPr>
        <w:t>Краткосрочният сегмент (спот) на платформата включва стандартизирани продукти „в рамките на ден“, „ден напред“, както и времеви и локални продукти за нуждите на балансиране на мрежата на ОПС. Търговията се осъществява на анонимен принцип според разпоредбите на Регламент (ЕС) № 312/2014.</w:t>
      </w:r>
    </w:p>
    <w:p w14:paraId="4BCDBC23"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Дългосрочният сегмент на платформата за търговия предлага продукти, търгуеми на средносрочна и дългосрочна база - седмични, месечни, тримесечни и годишни. </w:t>
      </w:r>
    </w:p>
    <w:p w14:paraId="2EB75E56" w14:textId="77777777" w:rsidR="00357377" w:rsidRPr="007E015D" w:rsidRDefault="00357377" w:rsidP="007E015D">
      <w:pPr>
        <w:pStyle w:val="Default"/>
        <w:spacing w:line="276" w:lineRule="auto"/>
        <w:ind w:firstLine="709"/>
        <w:jc w:val="both"/>
        <w:rPr>
          <w:lang w:val="bg-BG"/>
        </w:rPr>
      </w:pPr>
      <w:r w:rsidRPr="007E015D">
        <w:t xml:space="preserve">Сегментът за предлагане на количества по програмата за освобождаване на газа (Gas Release Program) към края на 2022 г. приключи своето действие с приетия параграф § 10 от Преходните и заключителните разпоредби на Закона за изменение и допълнение на Закона за корпоративното подоходно облагане (обн. ДВ бр. 99 от 2022 г.), с който са отменени текстовете на чл. 176а, ал. 1, т. 4 и 5 от Закона за енергетиката, съгласно които обществения доставчик бе задължен да предложи на организирания борсов пазар определени количества природен газ през 2023 г. и 2024 г. Дългосрочният договор на „Булгаргаз“ ЕАД не е действащ, считано от 31.12.2022 г., като доставките по него са преустановени на 27.04.2022 г. Поради прекратените доставки възниква необходимост за „Булгаргаз“ ЕАД да осигури </w:t>
      </w:r>
      <w:r w:rsidRPr="007E015D">
        <w:lastRenderedPageBreak/>
        <w:t xml:space="preserve">алтернативни източници, както за обезпечаване на дейността си като обществен доставчик, така и по двустранните си договори и количествата по Програмата. Формиралият се недостиг </w:t>
      </w:r>
      <w:r w:rsidRPr="007E015D">
        <w:rPr>
          <w:lang w:val="bg-BG"/>
        </w:rPr>
        <w:t xml:space="preserve">по програмата се компенсира от алтернативни доставчици при пазарни условия. Лицензирани са над 70 търговци, имащи право свободно да търгуват с природен газ на организирания борсов пазар. В този смисъл „Булгаргаз“ ЕАД се конкурира на пазара заедно и наравно с тях за закупуване на природен газ. Същевременно, цените по Програмата са регулирани от КЕВР за съответния период. Предвид липса на предвидимост по отношение на количества и ценови нива, както и невъзможността подобни количества да бъдат освобождавани на организирания борсов пазар при условия, различни от заложените принципи в Регулаторното споразумение, се създават условия за формиране на ценови дефицити за „Булгаргаз“ ЕАД и изкривяване на пазара. Допълнително негативно влияние върху този процес създават смущенията в доставките на общоевропейския пазар и повишеното търсене на природен газ, което влияе отрицателно върху изпълнението на Програмата от обществения доставчик. </w:t>
      </w:r>
    </w:p>
    <w:p w14:paraId="4BAAD7FE"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Българска енергийна търговска платформа АД (БЕТП) притежава Лицензия № Л-533-11 от 25.03.2021 г. за осъществяване на дейността „организиране на борсов пазар на природен газ“ за срок от 35 години. БЕТП АД е основано с цел създаване, развитие и функциониране на надежден и стабилен единен регионален газов пазар, като допринася за повишаване на прозрачността и ликвидността на пазара на природен газ в региона на Югоизточна Европа. </w:t>
      </w:r>
    </w:p>
    <w:p w14:paraId="742D0170"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Приоритетно се разглеждат и прилагат мерки за рехабилитация, модернизация и разширение на съществуващата газопреносна инфраструктура и развитие на междусистемната свързаност, като тези дейности осигуряват допълнителни възможности за повишаване използването на природен газ в страната със съответните икономически, социални и екологични ползи. </w:t>
      </w:r>
    </w:p>
    <w:p w14:paraId="7D9D218A" w14:textId="77777777" w:rsidR="00357377" w:rsidRDefault="00357377" w:rsidP="00C341C8">
      <w:pPr>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С оглед на геополитическите процеси в последната година, спрените доставки на природен газ от Русия към Европа и войната в Украйна министерство на енергетиката и „Булгаргаз“ ЕАД предприеха сериозни действия за осигуряване на диверсификация на доставките на природен газ за страната и запълване на подземното хранилище в „Чирен“, с цел гарантиране енергийната сигурност на страната</w:t>
      </w:r>
    </w:p>
    <w:p w14:paraId="101CB514" w14:textId="77777777" w:rsidR="00C341C8" w:rsidRPr="00C341C8" w:rsidRDefault="00C341C8" w:rsidP="00C341C8">
      <w:pPr>
        <w:spacing w:after="0" w:line="276" w:lineRule="auto"/>
        <w:ind w:firstLine="709"/>
        <w:jc w:val="both"/>
        <w:rPr>
          <w:rFonts w:ascii="Times New Roman" w:hAnsi="Times New Roman" w:cs="Times New Roman"/>
          <w:sz w:val="24"/>
          <w:szCs w:val="24"/>
        </w:rPr>
      </w:pPr>
    </w:p>
    <w:p w14:paraId="385B832D" w14:textId="77777777" w:rsidR="00357377" w:rsidRPr="00C341C8" w:rsidRDefault="00357377" w:rsidP="00C341C8">
      <w:pPr>
        <w:autoSpaceDE w:val="0"/>
        <w:autoSpaceDN w:val="0"/>
        <w:adjustRightInd w:val="0"/>
        <w:spacing w:after="0" w:line="276" w:lineRule="auto"/>
        <w:ind w:firstLine="709"/>
        <w:jc w:val="both"/>
        <w:rPr>
          <w:rFonts w:ascii="Times New Roman" w:hAnsi="Times New Roman" w:cs="Times New Roman"/>
          <w:sz w:val="24"/>
          <w:szCs w:val="24"/>
        </w:rPr>
      </w:pPr>
      <w:r w:rsidRPr="00C341C8">
        <w:rPr>
          <w:rFonts w:ascii="Times New Roman" w:hAnsi="Times New Roman" w:cs="Times New Roman"/>
          <w:i/>
          <w:iCs/>
          <w:sz w:val="24"/>
          <w:szCs w:val="24"/>
        </w:rPr>
        <w:t xml:space="preserve">ii. Когато е приложимо, национални общи цели, свързани с недискриминационното участие на енергията от възобновяеми източници, оптимизация на потреблението и съхранение, включително чрез групиране, във всички енергийни пазари, включително график за постигане на целите </w:t>
      </w:r>
    </w:p>
    <w:p w14:paraId="29C4370E" w14:textId="77777777" w:rsidR="00357377" w:rsidRDefault="00357377" w:rsidP="00C341C8">
      <w:pPr>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Съгласно изискванията на Регламент (ЕС) 2019/943 и Директива (ЕС) 2019/944 относно вътрешния пазар на електрическа енергия и с оглед на бъдещата пълна либерализация на електроенергийния пазар, България полага усилия за насърчаване на участието на крайните клиенти в оптимизация на потреблението чрез агрегиране, както и за разрешаване на участието на крайните клиенти, включително и на тези, които предлагат </w:t>
      </w:r>
      <w:r w:rsidRPr="007E015D">
        <w:rPr>
          <w:rFonts w:ascii="Times New Roman" w:hAnsi="Times New Roman" w:cs="Times New Roman"/>
          <w:color w:val="000000"/>
          <w:sz w:val="24"/>
          <w:szCs w:val="24"/>
        </w:rPr>
        <w:lastRenderedPageBreak/>
        <w:t>оптимизация на потреблението чрез агрегиране на всички пазари на електрическа енергия наред с производителите.</w:t>
      </w:r>
    </w:p>
    <w:p w14:paraId="6780E887" w14:textId="77777777" w:rsidR="00C341C8" w:rsidRPr="00C341C8" w:rsidRDefault="00C341C8" w:rsidP="00C341C8">
      <w:pPr>
        <w:spacing w:after="0" w:line="276" w:lineRule="auto"/>
        <w:ind w:firstLine="709"/>
        <w:jc w:val="both"/>
        <w:rPr>
          <w:rFonts w:ascii="Times New Roman" w:hAnsi="Times New Roman" w:cs="Times New Roman"/>
          <w:sz w:val="24"/>
          <w:szCs w:val="24"/>
        </w:rPr>
      </w:pPr>
    </w:p>
    <w:p w14:paraId="57657814" w14:textId="77777777" w:rsidR="00357377" w:rsidRPr="00C341C8" w:rsidRDefault="00357377" w:rsidP="007E015D">
      <w:pPr>
        <w:autoSpaceDE w:val="0"/>
        <w:autoSpaceDN w:val="0"/>
        <w:adjustRightInd w:val="0"/>
        <w:spacing w:after="0" w:line="276" w:lineRule="auto"/>
        <w:ind w:firstLine="709"/>
        <w:jc w:val="both"/>
        <w:rPr>
          <w:rFonts w:ascii="Times New Roman" w:hAnsi="Times New Roman" w:cs="Times New Roman"/>
          <w:sz w:val="24"/>
          <w:szCs w:val="24"/>
        </w:rPr>
      </w:pPr>
      <w:r w:rsidRPr="00C341C8">
        <w:rPr>
          <w:rFonts w:ascii="Times New Roman" w:hAnsi="Times New Roman" w:cs="Times New Roman"/>
          <w:i/>
          <w:iCs/>
          <w:sz w:val="24"/>
          <w:szCs w:val="24"/>
        </w:rPr>
        <w:t xml:space="preserve">iii. Когато е приложимо, национални общи цели с оглед да се гарантира, че потребителите участват в енергийната система и ползват собственото генериране на енергия и новите технологии, включително интелигентните измервателни уреди </w:t>
      </w:r>
    </w:p>
    <w:p w14:paraId="6ABC8CD3"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България си поставя за цел прогресивно премахване на регулаторните и търговските пречки пред това потребителите да използват, съхраняват и продават на пазара произведената от тях електрическа енергия и да участват на пазара, като предоставят гъвкавост на системата, чрез съхранение на енергия и оптимизация на потреблението. </w:t>
      </w:r>
    </w:p>
    <w:p w14:paraId="5E737AA1"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С цел насърчаване на потребителите на енергия да участват по-активно и ефективно на пазара, ще бъдат предприети допълнителни действия (по-подробно развити в раздел 3.4). Тези мерки включват: </w:t>
      </w:r>
    </w:p>
    <w:p w14:paraId="0F34559F"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Популяризиране на местните енергийни общности по смисъла на Директива (ЕС) 2019/944 и регламентирането на правила за основаването и функционирането им; </w:t>
      </w:r>
    </w:p>
    <w:p w14:paraId="65C57426"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Създаване на опции като договори с динамични цени на електроенергията и агрегиране, разработване на платформи за повишаване на прозрачността на информацията, особено в полза на домакинствата и микро предприятията; </w:t>
      </w:r>
    </w:p>
    <w:p w14:paraId="6305C944"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Развитие на регулаторната рамка за насърчаване на потребителите. </w:t>
      </w:r>
    </w:p>
    <w:p w14:paraId="70073262" w14:textId="77777777" w:rsidR="00357377" w:rsidRPr="007E015D" w:rsidRDefault="00357377" w:rsidP="00C341C8">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5F24BD08" w14:textId="77777777" w:rsidR="00357377" w:rsidRPr="00C341C8" w:rsidRDefault="00357377" w:rsidP="00C341C8">
      <w:pPr>
        <w:autoSpaceDE w:val="0"/>
        <w:autoSpaceDN w:val="0"/>
        <w:adjustRightInd w:val="0"/>
        <w:spacing w:after="0" w:line="276" w:lineRule="auto"/>
        <w:ind w:firstLine="709"/>
        <w:jc w:val="both"/>
        <w:rPr>
          <w:rFonts w:ascii="Times New Roman" w:hAnsi="Times New Roman" w:cs="Times New Roman"/>
          <w:sz w:val="24"/>
          <w:szCs w:val="24"/>
        </w:rPr>
      </w:pPr>
      <w:r w:rsidRPr="00C341C8">
        <w:rPr>
          <w:rFonts w:ascii="Times New Roman" w:hAnsi="Times New Roman" w:cs="Times New Roman"/>
          <w:i/>
          <w:iCs/>
          <w:sz w:val="24"/>
          <w:szCs w:val="24"/>
        </w:rPr>
        <w:t xml:space="preserve">iv. Национални общи цели, свързани с осигуряване на адекватност на електроенергийната система, както и с повишаване на гъвкавостта на енергийната система във връзка с производството на енергия от възобновяеми източници, включително график за постигането на целите </w:t>
      </w:r>
    </w:p>
    <w:p w14:paraId="1F74B73F" w14:textId="77777777" w:rsidR="00357377" w:rsidRPr="00C341C8" w:rsidRDefault="00357377" w:rsidP="00C341C8">
      <w:pPr>
        <w:spacing w:after="0" w:line="276" w:lineRule="auto"/>
        <w:ind w:firstLine="709"/>
        <w:jc w:val="both"/>
        <w:rPr>
          <w:rFonts w:ascii="Times New Roman" w:hAnsi="Times New Roman" w:cs="Times New Roman"/>
          <w:sz w:val="24"/>
          <w:szCs w:val="24"/>
        </w:rPr>
      </w:pPr>
      <w:r w:rsidRPr="00C341C8">
        <w:rPr>
          <w:rFonts w:ascii="Times New Roman" w:hAnsi="Times New Roman" w:cs="Times New Roman"/>
          <w:sz w:val="24"/>
          <w:szCs w:val="24"/>
        </w:rPr>
        <w:t>Пълната либерализация на пазара на електрическа енергия ще създаде условия за повишаване гъвкавостта на системата, чрез осигуряване условия за постигане на конкурентни цени и ще увеличи ликвидността на борсовия пазар на електрическа енергия.</w:t>
      </w:r>
    </w:p>
    <w:p w14:paraId="5BA6AF78" w14:textId="77777777" w:rsidR="00357377" w:rsidRPr="00C341C8" w:rsidRDefault="00357377" w:rsidP="00C341C8">
      <w:pPr>
        <w:autoSpaceDE w:val="0"/>
        <w:autoSpaceDN w:val="0"/>
        <w:adjustRightInd w:val="0"/>
        <w:spacing w:after="0" w:line="276" w:lineRule="auto"/>
        <w:ind w:firstLine="709"/>
        <w:jc w:val="both"/>
        <w:rPr>
          <w:rFonts w:ascii="Times New Roman" w:hAnsi="Times New Roman" w:cs="Times New Roman"/>
          <w:sz w:val="24"/>
          <w:szCs w:val="24"/>
        </w:rPr>
      </w:pPr>
      <w:r w:rsidRPr="00C341C8">
        <w:rPr>
          <w:rFonts w:ascii="Times New Roman" w:hAnsi="Times New Roman" w:cs="Times New Roman"/>
          <w:sz w:val="24"/>
          <w:szCs w:val="24"/>
        </w:rPr>
        <w:t xml:space="preserve">Повишаването на гъвкавостта на системата ще се осигури чрез развитие на балансиращите мощности, капацитета за съхранение на енергия и способностите за нейното управление. </w:t>
      </w:r>
    </w:p>
    <w:p w14:paraId="24A688A7" w14:textId="77777777" w:rsidR="00357377" w:rsidRDefault="00357377" w:rsidP="00C341C8">
      <w:pPr>
        <w:autoSpaceDE w:val="0"/>
        <w:autoSpaceDN w:val="0"/>
        <w:adjustRightInd w:val="0"/>
        <w:spacing w:after="0" w:line="276" w:lineRule="auto"/>
        <w:ind w:firstLine="709"/>
        <w:jc w:val="both"/>
        <w:rPr>
          <w:rFonts w:ascii="Times New Roman" w:hAnsi="Times New Roman" w:cs="Times New Roman"/>
          <w:sz w:val="24"/>
          <w:szCs w:val="24"/>
        </w:rPr>
      </w:pPr>
      <w:r w:rsidRPr="00C341C8">
        <w:rPr>
          <w:rFonts w:ascii="Times New Roman" w:hAnsi="Times New Roman" w:cs="Times New Roman"/>
          <w:sz w:val="24"/>
          <w:szCs w:val="24"/>
        </w:rPr>
        <w:t xml:space="preserve">С цел облекчаване на вътрешните претоварвания и увеличаване на междусистемния капацитет се предвижда надграждане на преносните способности на мрежите. </w:t>
      </w:r>
    </w:p>
    <w:p w14:paraId="23D54463" w14:textId="77777777" w:rsidR="00154913" w:rsidRPr="00C341C8" w:rsidRDefault="00154913" w:rsidP="00C341C8">
      <w:pPr>
        <w:autoSpaceDE w:val="0"/>
        <w:autoSpaceDN w:val="0"/>
        <w:adjustRightInd w:val="0"/>
        <w:spacing w:after="0" w:line="276" w:lineRule="auto"/>
        <w:ind w:firstLine="709"/>
        <w:jc w:val="both"/>
        <w:rPr>
          <w:rFonts w:ascii="Times New Roman" w:hAnsi="Times New Roman" w:cs="Times New Roman"/>
          <w:sz w:val="24"/>
          <w:szCs w:val="24"/>
        </w:rPr>
      </w:pPr>
    </w:p>
    <w:p w14:paraId="47AD5C03" w14:textId="77777777" w:rsidR="00357377" w:rsidRPr="00C341C8" w:rsidRDefault="00357377" w:rsidP="00C341C8">
      <w:pPr>
        <w:autoSpaceDE w:val="0"/>
        <w:autoSpaceDN w:val="0"/>
        <w:adjustRightInd w:val="0"/>
        <w:spacing w:after="0" w:line="276" w:lineRule="auto"/>
        <w:ind w:firstLine="709"/>
        <w:jc w:val="both"/>
        <w:rPr>
          <w:rFonts w:ascii="Times New Roman" w:hAnsi="Times New Roman" w:cs="Times New Roman"/>
          <w:sz w:val="24"/>
          <w:szCs w:val="24"/>
        </w:rPr>
      </w:pPr>
      <w:r w:rsidRPr="00C341C8">
        <w:rPr>
          <w:rFonts w:ascii="Times New Roman" w:hAnsi="Times New Roman" w:cs="Times New Roman"/>
          <w:i/>
          <w:iCs/>
          <w:sz w:val="24"/>
          <w:szCs w:val="24"/>
        </w:rPr>
        <w:t xml:space="preserve">v. Когато е приложимо, национални общи цели за защита на потребителите на енергия и подобряване на конкурентоспособността на сектора на пазара на енергия на дребно </w:t>
      </w:r>
    </w:p>
    <w:p w14:paraId="60AFB4F5" w14:textId="77777777" w:rsidR="00357377" w:rsidRPr="007E015D" w:rsidRDefault="00357377" w:rsidP="006767A8">
      <w:pPr>
        <w:pStyle w:val="Default"/>
        <w:spacing w:line="276" w:lineRule="auto"/>
        <w:ind w:firstLine="709"/>
        <w:jc w:val="both"/>
        <w:rPr>
          <w:lang w:val="bg-BG"/>
        </w:rPr>
      </w:pPr>
      <w:r w:rsidRPr="007E015D">
        <w:t xml:space="preserve">В съответствие с Третия либерализационен пакет на ЕК, България предприе стъпки към пълна либерализация на пазара на електрическа енергия. Поетапното премахване на регулираните цени за крайните потребители ще доведе до увеличаване на </w:t>
      </w:r>
      <w:r w:rsidRPr="007E015D">
        <w:rPr>
          <w:lang w:val="bg-BG"/>
        </w:rPr>
        <w:t xml:space="preserve">конкуренцията между доставчиците на електрическа енергия, но в също време това може да изложи </w:t>
      </w:r>
      <w:r w:rsidRPr="007E015D">
        <w:rPr>
          <w:lang w:val="bg-BG"/>
        </w:rPr>
        <w:lastRenderedPageBreak/>
        <w:t xml:space="preserve">потребителите на по-голямо ценово непостоянство. В тази връзка, целта, която си поставя България е осигуряване на адекватна защита за уязвимите битови потребители на електрическа енергия. </w:t>
      </w:r>
    </w:p>
    <w:p w14:paraId="4FBDFAFD" w14:textId="77777777" w:rsidR="00C341C8" w:rsidRPr="00C341C8" w:rsidRDefault="00C341C8" w:rsidP="006767A8">
      <w:pPr>
        <w:autoSpaceDE w:val="0"/>
        <w:autoSpaceDN w:val="0"/>
        <w:adjustRightInd w:val="0"/>
        <w:spacing w:after="0" w:line="276" w:lineRule="auto"/>
        <w:ind w:firstLine="709"/>
        <w:jc w:val="both"/>
        <w:rPr>
          <w:rFonts w:ascii="Times New Roman" w:hAnsi="Times New Roman" w:cs="Times New Roman"/>
          <w:b/>
          <w:sz w:val="24"/>
          <w:szCs w:val="24"/>
          <w:u w:val="single"/>
        </w:rPr>
      </w:pPr>
    </w:p>
    <w:p w14:paraId="46528989" w14:textId="77777777" w:rsidR="00357377" w:rsidRPr="00C341C8" w:rsidRDefault="00357377" w:rsidP="006767A8">
      <w:pPr>
        <w:autoSpaceDE w:val="0"/>
        <w:autoSpaceDN w:val="0"/>
        <w:adjustRightInd w:val="0"/>
        <w:spacing w:after="0" w:line="276" w:lineRule="auto"/>
        <w:ind w:firstLine="709"/>
        <w:jc w:val="both"/>
        <w:rPr>
          <w:rFonts w:ascii="Times New Roman" w:hAnsi="Times New Roman" w:cs="Times New Roman"/>
          <w:b/>
          <w:sz w:val="24"/>
          <w:szCs w:val="24"/>
          <w:u w:val="single"/>
        </w:rPr>
      </w:pPr>
      <w:r w:rsidRPr="00C341C8">
        <w:rPr>
          <w:rFonts w:ascii="Times New Roman" w:hAnsi="Times New Roman" w:cs="Times New Roman"/>
          <w:b/>
          <w:sz w:val="24"/>
          <w:szCs w:val="24"/>
          <w:u w:val="single"/>
        </w:rPr>
        <w:t xml:space="preserve">Енергийна бедност </w:t>
      </w:r>
    </w:p>
    <w:p w14:paraId="67732D80" w14:textId="77777777" w:rsidR="00357377" w:rsidRPr="006767A8" w:rsidRDefault="00357377" w:rsidP="006767A8">
      <w:pPr>
        <w:autoSpaceDE w:val="0"/>
        <w:autoSpaceDN w:val="0"/>
        <w:adjustRightInd w:val="0"/>
        <w:spacing w:after="0" w:line="276" w:lineRule="auto"/>
        <w:ind w:firstLine="709"/>
        <w:jc w:val="both"/>
        <w:rPr>
          <w:rFonts w:ascii="Times New Roman" w:hAnsi="Times New Roman" w:cs="Times New Roman"/>
          <w:sz w:val="24"/>
          <w:szCs w:val="24"/>
        </w:rPr>
      </w:pPr>
      <w:r w:rsidRPr="006767A8">
        <w:rPr>
          <w:rFonts w:ascii="Times New Roman" w:hAnsi="Times New Roman" w:cs="Times New Roman"/>
          <w:i/>
          <w:iCs/>
          <w:sz w:val="24"/>
          <w:szCs w:val="24"/>
        </w:rPr>
        <w:t xml:space="preserve">i. Когато е приложимо, национални цели във връзка с енергийната бедност, включително график за постигането на целите </w:t>
      </w:r>
    </w:p>
    <w:p w14:paraId="48A57472" w14:textId="77777777" w:rsidR="00357377" w:rsidRPr="00C12E60" w:rsidRDefault="00357377" w:rsidP="006767A8">
      <w:pPr>
        <w:spacing w:after="0" w:line="276" w:lineRule="auto"/>
        <w:ind w:firstLine="709"/>
        <w:jc w:val="both"/>
        <w:rPr>
          <w:rFonts w:ascii="Times New Roman" w:hAnsi="Times New Roman" w:cs="Times New Roman"/>
          <w:sz w:val="24"/>
          <w:szCs w:val="24"/>
        </w:rPr>
      </w:pPr>
      <w:r w:rsidRPr="007E015D">
        <w:rPr>
          <w:rFonts w:ascii="Times New Roman" w:hAnsi="Times New Roman" w:cs="Times New Roman"/>
          <w:color w:val="000000"/>
          <w:sz w:val="24"/>
          <w:szCs w:val="24"/>
        </w:rPr>
        <w:t>Терминът „енергийната бедност“ се появи през последните години като производен ефект в започналата глобална климатична трансформация, която налага изпълнение на конкретни ангажименти от държавите-членки на ЕС за постигане на цели за намаляване на нетните емисии на парникови газове с най-малко 55% до 2030 г. в сравнение с равнищата от 1990 година. Това наложи и спешното транспониране на чл. 28 Уязвими клиенти и чл. 29 Енергийна бедност на Директива (ЕС) 2019/944 на Европейския парламент и на Съвета от 5 юни 2019 година относно общите правила за вътрешния пазар на електроенергия и за изменение на Директива 2012/27/ЕС. Посочените текстове на Директивата очертават основната рамка на задълженията на ниво ЕС за защита на уязвимите клиенти и на домакинствата в положение на енергийна бедност, като същевременно приемането и прилагането на подходящи мерки е ангажимент на отделните държави-членки, съобразно националната специфика.</w:t>
      </w:r>
    </w:p>
    <w:p w14:paraId="0970F3DA" w14:textId="77777777" w:rsidR="00C27E31" w:rsidRDefault="00357377" w:rsidP="006767A8">
      <w:pPr>
        <w:spacing w:after="0" w:line="276" w:lineRule="auto"/>
        <w:ind w:firstLine="709"/>
        <w:jc w:val="both"/>
        <w:rPr>
          <w:rFonts w:ascii="Times New Roman" w:hAnsi="Times New Roman" w:cs="Times New Roman"/>
          <w:sz w:val="24"/>
          <w:szCs w:val="24"/>
        </w:rPr>
      </w:pPr>
      <w:r w:rsidRPr="007E015D">
        <w:rPr>
          <w:rFonts w:ascii="Times New Roman" w:hAnsi="Times New Roman" w:cs="Times New Roman"/>
          <w:sz w:val="24"/>
          <w:szCs w:val="24"/>
        </w:rPr>
        <w:t xml:space="preserve">В тази насока бяха предприети действия, като на 05.10.2023 г. 49-то Народно събрание на Република България прие Закона за изменение и допълнение на Закона за енергетиката (ЗИДЗЕ), повторно приет на 10.11.2023 г., обн., ДВ, бр. 96 от 17.11.2023 г. В допълнителните разпоредби на така приетия закон са въведени за първи път национални определения за "домакинство в положение на енергийна бедност" и "уязвим клиент за снабдяване с електрическа енергия", които заедно с измененията, предвидени в чл. 38д от закона са от съществено значение за изпълнението на Реформа C4.R3. Разработване на дефиниция и критерии за "енергийна бедност" (Реформата) от </w:t>
      </w:r>
      <w:bookmarkStart w:id="13" w:name="_Hlk202861763"/>
      <w:r w:rsidRPr="007E015D">
        <w:rPr>
          <w:rFonts w:ascii="Times New Roman" w:hAnsi="Times New Roman" w:cs="Times New Roman"/>
          <w:sz w:val="24"/>
          <w:szCs w:val="24"/>
        </w:rPr>
        <w:t>Националния план за възстановяване и устойчивост на Република България</w:t>
      </w:r>
    </w:p>
    <w:bookmarkEnd w:id="13"/>
    <w:p w14:paraId="0E71174D" w14:textId="441E6264" w:rsidR="00357377" w:rsidRPr="007E015D" w:rsidRDefault="00357377" w:rsidP="006767A8">
      <w:pPr>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sz w:val="24"/>
          <w:szCs w:val="24"/>
        </w:rPr>
        <w:t>Предвид разпоредбите на § 17 от ЗИДЗЕ Министерският съвет беше задължен да приеме посочената Наредба в срок не по-късно от три месеца след обнародване на закона (съгласно § 50 от преходните и заключителните разпоредби на ЗИДЗЕ). В закона е записано задължение за извършването на оценка на броя на домакинствата в положение на енергийна бедност, както и създаване и поддържане на информационна система за броя на домакинства в положение на енергийна бедност и за уязвими клиенти за снабдяване с електрическа енергия, от националната отговорна институция, определена за разработване на Национален социален климатичен план, съгласно Регламент (ЕС) 2023/955 на Европейския парламент и на Съвета от 10 май 2023 г. за създаване на</w:t>
      </w:r>
      <w:r w:rsidR="006767A8">
        <w:rPr>
          <w:rFonts w:ascii="Times New Roman" w:hAnsi="Times New Roman" w:cs="Times New Roman"/>
          <w:sz w:val="24"/>
          <w:szCs w:val="24"/>
        </w:rPr>
        <w:t xml:space="preserve"> </w:t>
      </w:r>
      <w:r w:rsidRPr="007E015D">
        <w:rPr>
          <w:rFonts w:ascii="Times New Roman" w:hAnsi="Times New Roman" w:cs="Times New Roman"/>
          <w:color w:val="000000"/>
          <w:sz w:val="24"/>
          <w:szCs w:val="24"/>
        </w:rPr>
        <w:t xml:space="preserve">Социален фонд за климата и за изменение на Регламент (ЕС) 2021/1060 (OB, L 130/1 от 16 май 2023 г.) или от друг орган, определен с акт на МС. </w:t>
      </w:r>
    </w:p>
    <w:p w14:paraId="2397AF4E" w14:textId="77777777" w:rsidR="00357377" w:rsidRPr="007E015D" w:rsidRDefault="00357377"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lastRenderedPageBreak/>
        <w:t xml:space="preserve">С цел пълно изпълнение на Реформата от НПВУ бяха положени съвместни усилия между компетентните министерства, определени в чл. 38д от ЗИДЗЕ за отговорни по определянето и прилагането на мерки за защита и за финансова подкрепа, а именно: Министерство на труда и социалната политика, Министерство на регионалното развитие и благоустройството и Министерство на енергетиката, като Наредбата е процедирана в съкратен срок, приета от МС с Постановление № 267 от 7 декември 2023 г. и обнародвана в Държавен вестник, бр. 103 от 12.12.2023 г. Наредбата определя критериите, условията и реда за определяне на статут на домакинство в положение на енергийна бедност и статут на уязвим клиент за снабдяване с електрическа енергия (Наредбата), реда и механизма на функциониране на информационна система за определяне на този статут, както и условия и ред за извършване на оценка на броя на домакинствата в положение на енергийна бедност. Редът и механизмът за функциониране на информационната система са определени с наредба. </w:t>
      </w:r>
    </w:p>
    <w:p w14:paraId="0D2CFE02" w14:textId="77777777" w:rsidR="001305A6" w:rsidRPr="007E015D" w:rsidRDefault="001305A6" w:rsidP="006767A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В Закона за енергетиката е вменено задължението Министерския съвет да определи или създаде орган (ведомство) който да разработи Националния социален и климатичен план и същевременно да изгради и подържа функциониране на информационна система за броя на домакинства в положение на енергийна бедност и за уязвими клиенти за снабдяване с електрическа енергия. </w:t>
      </w:r>
    </w:p>
    <w:p w14:paraId="12194ED2" w14:textId="77777777" w:rsidR="001305A6" w:rsidRPr="007E015D" w:rsidRDefault="001305A6"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Инициативата е предложена за включване като реформа по RePowerEU. Изпълнението на реформата следва да се осъществи съвместно от екипите на МФ, МТСП, МРРБ и МЕ (отговорни институции по прилагане на подходящи мерки за подкрепа, съгласно разпоредбите на чл. 38д от Закона за енергетиката) и подкрепени от международна финансова институция по примера на изпълнение на други мащабни реформи в страната (като Реформа C4.R1 "Създаване на Национален фонд за декарбонизация" към Националния план за устойчивост и развитие, подкрепена от ГД "Реформи" на Европейската комисия и със сътрудничеството на Европейската инвестиционна банка, ПрайсуотърхаусКупърс и Екорис, за изпълнение на проект "Подкрепа за създаване на Национален декарбонизационен фонд (НДФ)", както и инициативата Renovation Wave for Europe, по линия на инициативата REACT-EU, финансирана от Next Generation EU). </w:t>
      </w:r>
    </w:p>
    <w:p w14:paraId="6FF19BB0" w14:textId="77777777" w:rsidR="00E37E20" w:rsidRPr="007E015D" w:rsidRDefault="001305A6" w:rsidP="006767A8">
      <w:pPr>
        <w:spacing w:after="0" w:line="276" w:lineRule="auto"/>
        <w:ind w:firstLine="709"/>
        <w:jc w:val="both"/>
        <w:rPr>
          <w:rFonts w:ascii="Times New Roman" w:hAnsi="Times New Roman" w:cs="Times New Roman"/>
          <w:color w:val="FF0000"/>
          <w:sz w:val="24"/>
          <w:szCs w:val="24"/>
        </w:rPr>
      </w:pPr>
      <w:r w:rsidRPr="007E015D">
        <w:rPr>
          <w:rFonts w:ascii="Times New Roman" w:hAnsi="Times New Roman" w:cs="Times New Roman"/>
          <w:color w:val="000000"/>
          <w:sz w:val="24"/>
          <w:szCs w:val="24"/>
        </w:rPr>
        <w:t>Предложената Обсерватория има за цел да бъде платформата за обединяване на широка общност от практици, длъжностни лица и изследователи, работещи в посочената област в България и извън нея. Основаната причина за създаването на Обсерваторията като надведомствен орган към Министерския съвет на Р България, който да координира конкретни политики и мерки за тяхното прилагане, е продиктувана от необходимостта от създаване на център за подпомагане на вземането на решения, посветен на този въпрос в България – държава-членка, в която нивата на енергийна бедност са сред най-високите в Европа и където структурните проблеми във връзката между енергетиката, ниските доходи и необновените жилища са особено изразени.</w:t>
      </w:r>
    </w:p>
    <w:p w14:paraId="22EEA121" w14:textId="77777777" w:rsidR="00357377" w:rsidRDefault="001305A6" w:rsidP="006767A8">
      <w:pPr>
        <w:spacing w:after="0" w:line="276" w:lineRule="auto"/>
        <w:ind w:firstLine="709"/>
        <w:jc w:val="both"/>
        <w:rPr>
          <w:rFonts w:ascii="Times New Roman" w:hAnsi="Times New Roman" w:cs="Times New Roman"/>
          <w:sz w:val="24"/>
          <w:szCs w:val="24"/>
        </w:rPr>
      </w:pPr>
      <w:r w:rsidRPr="007E015D">
        <w:rPr>
          <w:rFonts w:ascii="Times New Roman" w:hAnsi="Times New Roman" w:cs="Times New Roman"/>
          <w:sz w:val="24"/>
          <w:szCs w:val="24"/>
        </w:rPr>
        <w:t xml:space="preserve">Това предложение включва създаването на нов център за знания, който не само да служи като изчерпателен информационен ресурс за заинтересованите страни за нивата на </w:t>
      </w:r>
      <w:r w:rsidRPr="007E015D">
        <w:rPr>
          <w:rFonts w:ascii="Times New Roman" w:hAnsi="Times New Roman" w:cs="Times New Roman"/>
          <w:sz w:val="24"/>
          <w:szCs w:val="24"/>
        </w:rPr>
        <w:lastRenderedPageBreak/>
        <w:t>енергийната бедност в България и мерки за справяне с нея, но и да стимулира напредъка на най-съвременните аналитични изследвания за причините и последиците от проблема в страната. Освен това Обсерваторията ще развива иновативни политики и практики за справяне с енергийната бедност и също така ще служи като средоточие за дискусии на заинтересованите страни и обмен на знания по темата. Финансиране на реформата е предвидено да се осъществи чрез Механизма за възстановяване и устойчивост. Издръжката на Обсерваторията след нейното създаване и изпълнението на други специфични дейности, свързани с преодоляване на енергийната бедност ще се подпомагат от Социалния климатичен фонд на ЕС, други финансови инструменти с източник на финансиране ЕС и националния бюджет.</w:t>
      </w:r>
    </w:p>
    <w:p w14:paraId="37A841EF" w14:textId="77777777" w:rsidR="006767A8" w:rsidRPr="006767A8" w:rsidRDefault="006767A8" w:rsidP="006767A8">
      <w:pPr>
        <w:spacing w:after="0" w:line="276" w:lineRule="auto"/>
        <w:ind w:firstLine="709"/>
        <w:jc w:val="both"/>
        <w:rPr>
          <w:rFonts w:ascii="Times New Roman" w:hAnsi="Times New Roman" w:cs="Times New Roman"/>
          <w:sz w:val="24"/>
          <w:szCs w:val="24"/>
        </w:rPr>
      </w:pPr>
    </w:p>
    <w:p w14:paraId="4CF64A96" w14:textId="77777777" w:rsidR="001305A6" w:rsidRPr="006767A8" w:rsidRDefault="006767A8" w:rsidP="006767A8">
      <w:pPr>
        <w:shd w:val="clear" w:color="auto" w:fill="F7CAAC" w:themeFill="accent2" w:themeFillTint="66"/>
        <w:autoSpaceDE w:val="0"/>
        <w:autoSpaceDN w:val="0"/>
        <w:adjustRightInd w:val="0"/>
        <w:spacing w:after="0" w:line="276" w:lineRule="auto"/>
        <w:ind w:firstLine="709"/>
        <w:jc w:val="both"/>
        <w:rPr>
          <w:rFonts w:ascii="Times New Roman" w:hAnsi="Times New Roman" w:cs="Times New Roman"/>
          <w:sz w:val="24"/>
          <w:szCs w:val="24"/>
        </w:rPr>
      </w:pPr>
      <w:r>
        <w:rPr>
          <w:rFonts w:ascii="Times New Roman" w:hAnsi="Times New Roman" w:cs="Times New Roman"/>
          <w:b/>
          <w:bCs/>
          <w:sz w:val="24"/>
          <w:szCs w:val="24"/>
        </w:rPr>
        <w:t xml:space="preserve">1.2.1.5. </w:t>
      </w:r>
      <w:r w:rsidR="001305A6" w:rsidRPr="006767A8">
        <w:rPr>
          <w:rFonts w:ascii="Times New Roman" w:hAnsi="Times New Roman" w:cs="Times New Roman"/>
          <w:b/>
          <w:bCs/>
          <w:sz w:val="24"/>
          <w:szCs w:val="24"/>
        </w:rPr>
        <w:t xml:space="preserve">Измерение „Научни изследвания, иновации и конкурентоспособност“ </w:t>
      </w:r>
    </w:p>
    <w:p w14:paraId="1F983163" w14:textId="77777777" w:rsidR="001305A6" w:rsidRPr="006767A8" w:rsidRDefault="001305A6" w:rsidP="007E015D">
      <w:pPr>
        <w:autoSpaceDE w:val="0"/>
        <w:autoSpaceDN w:val="0"/>
        <w:adjustRightInd w:val="0"/>
        <w:spacing w:after="0" w:line="276" w:lineRule="auto"/>
        <w:ind w:firstLine="709"/>
        <w:jc w:val="both"/>
        <w:rPr>
          <w:rFonts w:ascii="Times New Roman" w:hAnsi="Times New Roman" w:cs="Times New Roman"/>
          <w:sz w:val="24"/>
          <w:szCs w:val="24"/>
        </w:rPr>
      </w:pPr>
      <w:r w:rsidRPr="006767A8">
        <w:rPr>
          <w:rFonts w:ascii="Times New Roman" w:hAnsi="Times New Roman" w:cs="Times New Roman"/>
          <w:i/>
          <w:iCs/>
          <w:sz w:val="24"/>
          <w:szCs w:val="24"/>
        </w:rPr>
        <w:t xml:space="preserve">i. Национални общи цели и конкретни цели за финансиране за публични и, при наличност, частни научни изследвания и иновации във връзка с Енергийния съюз, включително, ако е подходящо, график за постигане на целите </w:t>
      </w:r>
    </w:p>
    <w:p w14:paraId="2CAB7516" w14:textId="77777777" w:rsidR="001305A6" w:rsidRPr="007E015D" w:rsidRDefault="001305A6" w:rsidP="007E015D">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Необходимостта от внедряване на нови енергийни технологии е безспорна. Стремежът ни е този процес да се ускори, с цел реализиране на по-бърз преход към чисти и високоефективни енергийни технологии. Това е и един от механизмите за постигане на сигурна, устойчива, екологосъобразна и високоефективна енергетика. Внедряването на нови технологии ще допринесе за намаляване на технологичните загуби по мрежите, разширяване на енергийния пазар, ще способства за решаване на предизвикателствата с декарбонизацията, намаление на разходите за енергия на потребителите, намаляване на вредните емисии, в резултат на което ще се повиши и качеството на живот на хората. </w:t>
      </w:r>
    </w:p>
    <w:p w14:paraId="48B7A9D4" w14:textId="77777777" w:rsidR="001305A6" w:rsidRPr="007E015D" w:rsidRDefault="001305A6" w:rsidP="006767A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В тази връзка, целите, които си поставя българската държава в областта на научните изследвания, иновации и конкурентоспособност са: </w:t>
      </w:r>
    </w:p>
    <w:p w14:paraId="48FB05E1" w14:textId="77777777" w:rsidR="001305A6" w:rsidRPr="007E015D" w:rsidRDefault="001305A6" w:rsidP="006767A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постигане целите по пакета „Чиста енергия за всички европейци” на ЕС до 2030 г., както и за развитие на нисковъглеродна икономика в дългосрочен план; </w:t>
      </w:r>
    </w:p>
    <w:p w14:paraId="611D56BD" w14:textId="77777777" w:rsidR="001305A6" w:rsidRPr="007E015D" w:rsidRDefault="001305A6" w:rsidP="006767A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постигане целите на Енергийния съюз, свързани с повишаване сигурността на енергийните доставки и подобряване на енергийната и ресурсната ефективност в транспорта; </w:t>
      </w:r>
    </w:p>
    <w:p w14:paraId="3D956DDF" w14:textId="77777777" w:rsidR="001305A6" w:rsidRPr="007E015D" w:rsidRDefault="001305A6" w:rsidP="006767A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насърчаване създаването на иновации, тяхната пазарна реализация и технологичното обновление на предприятията; </w:t>
      </w:r>
    </w:p>
    <w:p w14:paraId="28A4DC5B" w14:textId="77777777" w:rsidR="001305A6" w:rsidRPr="007E015D" w:rsidRDefault="001305A6" w:rsidP="006767A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подкрепа на местната индустрия за въвеждане на ниско-въглеродни технологии, на обществено-административния и битовия сектор за използване на нови високо ефективни енергоспестяващи технологии; </w:t>
      </w:r>
    </w:p>
    <w:p w14:paraId="57A64874" w14:textId="77777777" w:rsidR="001305A6" w:rsidRPr="007E015D" w:rsidRDefault="001305A6" w:rsidP="006767A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подобряване качеството на атмосферния въздух; </w:t>
      </w:r>
    </w:p>
    <w:p w14:paraId="2136693A" w14:textId="77777777" w:rsidR="001305A6" w:rsidRPr="007E015D" w:rsidRDefault="001305A6" w:rsidP="006767A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внедряване на нови енергоспестяващи технологии, които да подобрят качеството на живот и да подобрят условията за работа на българските граждани; </w:t>
      </w:r>
    </w:p>
    <w:p w14:paraId="3F6F9CCE" w14:textId="77777777" w:rsidR="001305A6" w:rsidRPr="007E015D" w:rsidRDefault="001305A6" w:rsidP="006767A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внедряване на нови топлоизолационни материали за остъклени повърхности; </w:t>
      </w:r>
    </w:p>
    <w:p w14:paraId="37DF504C" w14:textId="77777777" w:rsidR="007E015D" w:rsidRPr="007E015D" w:rsidRDefault="001305A6" w:rsidP="006767A8">
      <w:pPr>
        <w:pStyle w:val="Default"/>
        <w:spacing w:line="276" w:lineRule="auto"/>
        <w:ind w:firstLine="709"/>
        <w:jc w:val="both"/>
        <w:rPr>
          <w:lang w:val="bg-BG"/>
        </w:rPr>
      </w:pPr>
      <w:r w:rsidRPr="007E015D">
        <w:lastRenderedPageBreak/>
        <w:t xml:space="preserve">• изграждане на интелигентни електрически мрежи (Smart grid) за автоматизиран контрол на системите за електрическата енергия, както от страна на доставчика така и от страна на потребителя, с цел осигуряване на най-качественото електрозахранване на потребителите и оползотворяване </w:t>
      </w:r>
    </w:p>
    <w:p w14:paraId="0D1835B3" w14:textId="77777777" w:rsidR="007E015D" w:rsidRPr="007E015D" w:rsidRDefault="007E015D" w:rsidP="006767A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в максимална степен енергията от възобновяеми източници. Крайната цел е модернизиране и автоматизиране на съществуващите електрически мрежи; </w:t>
      </w:r>
    </w:p>
    <w:p w14:paraId="74D0CF71" w14:textId="77777777" w:rsidR="007E015D" w:rsidRPr="007E015D" w:rsidRDefault="007E015D" w:rsidP="006767A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изграждане на съоръжения за съхранение на енергия; </w:t>
      </w:r>
    </w:p>
    <w:p w14:paraId="09B323D5" w14:textId="77777777" w:rsidR="007E015D" w:rsidRPr="007E015D" w:rsidRDefault="007E015D" w:rsidP="006767A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подкрепа на научните изследвания и иновациите в областта на ядрената енергетика, изследвания в насока устойчивото и безопасно управление на радиоактивни отпадъци; </w:t>
      </w:r>
    </w:p>
    <w:p w14:paraId="38724692" w14:textId="77777777" w:rsidR="007E015D" w:rsidRPr="007E015D" w:rsidRDefault="007E015D" w:rsidP="006767A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повишаване на конкурентоспособността и пазарните позиции на българската индустрия, както и насърчаване развитието на иновативни производства с висока добавена стойност; </w:t>
      </w:r>
    </w:p>
    <w:p w14:paraId="130A1E9E" w14:textId="77777777" w:rsidR="007E015D" w:rsidRPr="007E015D" w:rsidRDefault="007E015D" w:rsidP="006767A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запазване конкурентоспособността на базовите енергоемки индустрии и ограничаване на рисковете от “изтичане на въглерод”; </w:t>
      </w:r>
    </w:p>
    <w:p w14:paraId="06454322" w14:textId="77777777" w:rsidR="007E015D" w:rsidRPr="007E015D" w:rsidRDefault="007E015D" w:rsidP="006767A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развитие на електрическите автомобили и водородните технологии </w:t>
      </w:r>
    </w:p>
    <w:p w14:paraId="2A2D1784" w14:textId="77777777" w:rsidR="007E015D" w:rsidRPr="007E015D" w:rsidRDefault="007E015D" w:rsidP="006767A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повишаване на уменията и създаване на квалифицирана работна сила, която да поддържа производството на технологии за нулеви нетни емисии, включително създаване (или участие) на академии за нулеви нетни емисии; </w:t>
      </w:r>
    </w:p>
    <w:p w14:paraId="1EEBE438" w14:textId="77777777" w:rsidR="007E015D" w:rsidRPr="007E015D" w:rsidRDefault="007E015D" w:rsidP="006767A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7E015D">
        <w:rPr>
          <w:rFonts w:ascii="Times New Roman" w:hAnsi="Times New Roman" w:cs="Times New Roman"/>
          <w:color w:val="000000"/>
          <w:sz w:val="24"/>
          <w:szCs w:val="24"/>
        </w:rPr>
        <w:t xml:space="preserve">• създаване на индустриални паркове по смисъла на Закона за индустриалните паркове. </w:t>
      </w:r>
    </w:p>
    <w:p w14:paraId="5A9EF3D6" w14:textId="77777777" w:rsidR="006767A8" w:rsidRPr="006767A8" w:rsidRDefault="006767A8" w:rsidP="007E015D">
      <w:pPr>
        <w:autoSpaceDE w:val="0"/>
        <w:autoSpaceDN w:val="0"/>
        <w:adjustRightInd w:val="0"/>
        <w:spacing w:after="0" w:line="276" w:lineRule="auto"/>
        <w:ind w:firstLine="709"/>
        <w:jc w:val="both"/>
        <w:rPr>
          <w:rFonts w:ascii="Times New Roman" w:hAnsi="Times New Roman" w:cs="Times New Roman"/>
          <w:i/>
          <w:iCs/>
          <w:sz w:val="24"/>
          <w:szCs w:val="24"/>
        </w:rPr>
      </w:pPr>
    </w:p>
    <w:p w14:paraId="1EFD3B20" w14:textId="77777777" w:rsidR="007E015D" w:rsidRPr="007E015D" w:rsidRDefault="007E015D" w:rsidP="007E015D">
      <w:pPr>
        <w:autoSpaceDE w:val="0"/>
        <w:autoSpaceDN w:val="0"/>
        <w:adjustRightInd w:val="0"/>
        <w:spacing w:after="0" w:line="276" w:lineRule="auto"/>
        <w:ind w:firstLine="709"/>
        <w:jc w:val="both"/>
        <w:rPr>
          <w:rFonts w:ascii="Times New Roman" w:hAnsi="Times New Roman" w:cs="Times New Roman"/>
          <w:sz w:val="24"/>
          <w:szCs w:val="24"/>
        </w:rPr>
      </w:pPr>
      <w:r w:rsidRPr="007E015D">
        <w:rPr>
          <w:rFonts w:ascii="Times New Roman" w:hAnsi="Times New Roman" w:cs="Times New Roman"/>
          <w:i/>
          <w:iCs/>
          <w:sz w:val="24"/>
          <w:szCs w:val="24"/>
        </w:rPr>
        <w:t>ii. Когато са налице, национални цели за 2050 г., свързани с насърчаването на технологиите за чиста енергия и, ако е подходящо, национални общи цели, включително дългосрочни конкретни цели (2050 г.) за въвеждането на нисковъглеродни технологии, в това число цели за декарбонизация на сектора на енергетиката и на енергийно и въглеродно интензивните промишлени отрасли, и, ако е приложимо, цели за съответната инфраструктура за транспортиране и съхранение на СО</w:t>
      </w:r>
      <w:r w:rsidRPr="00A20EAA">
        <w:rPr>
          <w:rFonts w:ascii="Times New Roman" w:hAnsi="Times New Roman" w:cs="Times New Roman"/>
          <w:i/>
          <w:iCs/>
          <w:sz w:val="24"/>
          <w:szCs w:val="24"/>
          <w:vertAlign w:val="subscript"/>
        </w:rPr>
        <w:t>2</w:t>
      </w:r>
      <w:r w:rsidRPr="007E015D">
        <w:rPr>
          <w:rFonts w:ascii="Times New Roman" w:hAnsi="Times New Roman" w:cs="Times New Roman"/>
          <w:i/>
          <w:iCs/>
          <w:sz w:val="24"/>
          <w:szCs w:val="24"/>
        </w:rPr>
        <w:t xml:space="preserve"> </w:t>
      </w:r>
    </w:p>
    <w:p w14:paraId="73D2010E" w14:textId="77777777" w:rsidR="00357377" w:rsidRPr="00C12E60" w:rsidRDefault="007E015D" w:rsidP="007E015D">
      <w:pPr>
        <w:autoSpaceDE w:val="0"/>
        <w:autoSpaceDN w:val="0"/>
        <w:adjustRightInd w:val="0"/>
        <w:spacing w:after="0" w:line="276" w:lineRule="auto"/>
        <w:ind w:firstLine="709"/>
        <w:jc w:val="both"/>
        <w:rPr>
          <w:rFonts w:ascii="Times New Roman" w:hAnsi="Times New Roman" w:cs="Times New Roman"/>
          <w:b/>
          <w:sz w:val="24"/>
          <w:szCs w:val="24"/>
        </w:rPr>
      </w:pPr>
      <w:r w:rsidRPr="00C12E60">
        <w:rPr>
          <w:rFonts w:ascii="Times New Roman" w:hAnsi="Times New Roman" w:cs="Times New Roman"/>
          <w:b/>
          <w:i/>
          <w:iCs/>
          <w:sz w:val="24"/>
          <w:szCs w:val="24"/>
        </w:rPr>
        <w:t>Не са налице национални цели в тази област</w:t>
      </w:r>
    </w:p>
    <w:p w14:paraId="5A7F6C65" w14:textId="77777777" w:rsidR="006767A8" w:rsidRDefault="006767A8" w:rsidP="007E015D">
      <w:pPr>
        <w:autoSpaceDE w:val="0"/>
        <w:autoSpaceDN w:val="0"/>
        <w:adjustRightInd w:val="0"/>
        <w:spacing w:after="0" w:line="276" w:lineRule="auto"/>
        <w:ind w:firstLine="709"/>
        <w:jc w:val="both"/>
        <w:rPr>
          <w:rFonts w:ascii="Times New Roman" w:hAnsi="Times New Roman" w:cs="Times New Roman"/>
          <w:i/>
          <w:iCs/>
          <w:sz w:val="24"/>
          <w:szCs w:val="24"/>
        </w:rPr>
      </w:pPr>
    </w:p>
    <w:p w14:paraId="656E57B3" w14:textId="77777777" w:rsidR="007E015D" w:rsidRPr="007E015D" w:rsidRDefault="007E015D" w:rsidP="007E015D">
      <w:pPr>
        <w:autoSpaceDE w:val="0"/>
        <w:autoSpaceDN w:val="0"/>
        <w:adjustRightInd w:val="0"/>
        <w:spacing w:after="0" w:line="276" w:lineRule="auto"/>
        <w:ind w:firstLine="709"/>
        <w:jc w:val="both"/>
        <w:rPr>
          <w:rFonts w:ascii="Times New Roman" w:hAnsi="Times New Roman" w:cs="Times New Roman"/>
          <w:sz w:val="24"/>
          <w:szCs w:val="24"/>
        </w:rPr>
      </w:pPr>
      <w:r w:rsidRPr="007E015D">
        <w:rPr>
          <w:rFonts w:ascii="Times New Roman" w:hAnsi="Times New Roman" w:cs="Times New Roman"/>
          <w:i/>
          <w:iCs/>
          <w:sz w:val="24"/>
          <w:szCs w:val="24"/>
        </w:rPr>
        <w:t xml:space="preserve">iii. Когато е приложимо, национални общи цели по отношение на конкурентоспособността </w:t>
      </w:r>
    </w:p>
    <w:p w14:paraId="55275547" w14:textId="77777777" w:rsidR="00357377" w:rsidRPr="00C12E60" w:rsidRDefault="007E015D" w:rsidP="007E015D">
      <w:pPr>
        <w:spacing w:before="120" w:after="0" w:line="276" w:lineRule="auto"/>
        <w:ind w:firstLine="709"/>
        <w:jc w:val="both"/>
        <w:rPr>
          <w:rFonts w:ascii="Times New Roman" w:hAnsi="Times New Roman" w:cs="Times New Roman"/>
          <w:b/>
          <w:sz w:val="24"/>
          <w:szCs w:val="24"/>
        </w:rPr>
      </w:pPr>
      <w:r w:rsidRPr="00C12E60">
        <w:rPr>
          <w:rFonts w:ascii="Times New Roman" w:hAnsi="Times New Roman" w:cs="Times New Roman"/>
          <w:b/>
          <w:i/>
          <w:iCs/>
          <w:sz w:val="24"/>
          <w:szCs w:val="24"/>
        </w:rPr>
        <w:t>Не е приложимо</w:t>
      </w:r>
    </w:p>
    <w:p w14:paraId="60FF6A2B" w14:textId="77777777" w:rsidR="00357377" w:rsidRPr="00321A4C" w:rsidRDefault="00357377" w:rsidP="00740223">
      <w:pPr>
        <w:spacing w:before="120" w:after="0" w:line="276" w:lineRule="auto"/>
        <w:jc w:val="both"/>
        <w:rPr>
          <w:rFonts w:ascii="Times New Roman" w:hAnsi="Times New Roman" w:cs="Times New Roman"/>
          <w:sz w:val="24"/>
          <w:szCs w:val="24"/>
        </w:rPr>
      </w:pPr>
    </w:p>
    <w:p w14:paraId="4198EA9C" w14:textId="77777777" w:rsidR="005125AE" w:rsidRPr="007E015D" w:rsidRDefault="005125AE" w:rsidP="005125AE">
      <w:pPr>
        <w:shd w:val="clear" w:color="auto" w:fill="E2EFD9" w:themeFill="accent6" w:themeFillTint="33"/>
        <w:spacing w:after="0" w:line="276" w:lineRule="auto"/>
        <w:ind w:firstLine="709"/>
        <w:jc w:val="both"/>
        <w:rPr>
          <w:rFonts w:ascii="Times New Roman" w:hAnsi="Times New Roman" w:cs="Times New Roman"/>
          <w:b/>
          <w:sz w:val="24"/>
          <w:szCs w:val="24"/>
        </w:rPr>
      </w:pPr>
      <w:r w:rsidRPr="007E015D">
        <w:rPr>
          <w:rFonts w:ascii="Times New Roman" w:hAnsi="Times New Roman" w:cs="Times New Roman"/>
          <w:b/>
          <w:sz w:val="24"/>
          <w:szCs w:val="24"/>
        </w:rPr>
        <w:t>1.2.</w:t>
      </w:r>
      <w:r>
        <w:rPr>
          <w:rFonts w:ascii="Times New Roman" w:hAnsi="Times New Roman" w:cs="Times New Roman"/>
          <w:b/>
          <w:sz w:val="24"/>
          <w:szCs w:val="24"/>
        </w:rPr>
        <w:t>2</w:t>
      </w:r>
      <w:r w:rsidRPr="007E015D">
        <w:rPr>
          <w:rFonts w:ascii="Times New Roman" w:hAnsi="Times New Roman" w:cs="Times New Roman"/>
          <w:b/>
          <w:sz w:val="24"/>
          <w:szCs w:val="24"/>
        </w:rPr>
        <w:t xml:space="preserve">. </w:t>
      </w:r>
      <w:r>
        <w:rPr>
          <w:rFonts w:ascii="Times New Roman" w:hAnsi="Times New Roman" w:cs="Times New Roman"/>
          <w:b/>
          <w:sz w:val="24"/>
          <w:szCs w:val="24"/>
        </w:rPr>
        <w:t>ПОЛИТИКИ И МЕРКИ</w:t>
      </w:r>
      <w:r w:rsidRPr="007E015D">
        <w:rPr>
          <w:rFonts w:ascii="Times New Roman" w:hAnsi="Times New Roman" w:cs="Times New Roman"/>
          <w:b/>
          <w:sz w:val="24"/>
          <w:szCs w:val="24"/>
        </w:rPr>
        <w:t xml:space="preserve"> </w:t>
      </w:r>
    </w:p>
    <w:p w14:paraId="226D273C" w14:textId="77777777" w:rsidR="005125AE" w:rsidRDefault="005125AE" w:rsidP="005125AE">
      <w:pPr>
        <w:autoSpaceDE w:val="0"/>
        <w:autoSpaceDN w:val="0"/>
        <w:adjustRightInd w:val="0"/>
        <w:spacing w:after="0" w:line="276" w:lineRule="auto"/>
        <w:ind w:firstLine="709"/>
        <w:jc w:val="both"/>
        <w:rPr>
          <w:rFonts w:ascii="Times New Roman" w:hAnsi="Times New Roman" w:cs="Times New Roman"/>
          <w:b/>
          <w:bCs/>
          <w:sz w:val="24"/>
          <w:szCs w:val="24"/>
        </w:rPr>
      </w:pPr>
    </w:p>
    <w:p w14:paraId="5086E3FD" w14:textId="77777777" w:rsidR="005125AE" w:rsidRPr="007E015D" w:rsidRDefault="005125AE" w:rsidP="00321A4C">
      <w:pPr>
        <w:shd w:val="clear" w:color="auto" w:fill="FBE4D5" w:themeFill="accent2" w:themeFillTint="33"/>
        <w:autoSpaceDE w:val="0"/>
        <w:autoSpaceDN w:val="0"/>
        <w:adjustRightInd w:val="0"/>
        <w:spacing w:after="0" w:line="276" w:lineRule="auto"/>
        <w:ind w:firstLine="709"/>
        <w:jc w:val="both"/>
        <w:rPr>
          <w:rFonts w:ascii="Times New Roman" w:hAnsi="Times New Roman" w:cs="Times New Roman"/>
          <w:sz w:val="24"/>
          <w:szCs w:val="24"/>
        </w:rPr>
      </w:pPr>
      <w:r>
        <w:rPr>
          <w:rFonts w:ascii="Times New Roman" w:hAnsi="Times New Roman" w:cs="Times New Roman"/>
          <w:b/>
          <w:bCs/>
          <w:sz w:val="24"/>
          <w:szCs w:val="24"/>
        </w:rPr>
        <w:t xml:space="preserve">1.2.2.1. </w:t>
      </w:r>
      <w:r w:rsidRPr="007E015D">
        <w:rPr>
          <w:rFonts w:ascii="Times New Roman" w:hAnsi="Times New Roman" w:cs="Times New Roman"/>
          <w:b/>
          <w:bCs/>
          <w:sz w:val="24"/>
          <w:szCs w:val="24"/>
        </w:rPr>
        <w:t xml:space="preserve">Измерение „Декарбонизация“ </w:t>
      </w:r>
    </w:p>
    <w:p w14:paraId="61E54DC7" w14:textId="77777777" w:rsidR="00167AF2" w:rsidRPr="00167AF2" w:rsidRDefault="00167AF2" w:rsidP="00321A4C">
      <w:pPr>
        <w:spacing w:after="0" w:line="276" w:lineRule="auto"/>
        <w:ind w:firstLine="709"/>
        <w:jc w:val="both"/>
        <w:rPr>
          <w:rFonts w:ascii="Times New Roman" w:hAnsi="Times New Roman" w:cs="Times New Roman"/>
          <w:b/>
          <w:sz w:val="24"/>
          <w:szCs w:val="24"/>
        </w:rPr>
      </w:pPr>
      <w:r w:rsidRPr="00167AF2">
        <w:rPr>
          <w:rFonts w:ascii="Times New Roman" w:hAnsi="Times New Roman" w:cs="Times New Roman"/>
          <w:b/>
          <w:sz w:val="24"/>
          <w:szCs w:val="24"/>
        </w:rPr>
        <w:t>Емисии и поглъщане на парникови газове</w:t>
      </w:r>
    </w:p>
    <w:p w14:paraId="34E5C893" w14:textId="77777777" w:rsidR="00357377" w:rsidRPr="00321A4C" w:rsidRDefault="0083664A" w:rsidP="00321A4C">
      <w:pPr>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sz w:val="24"/>
          <w:szCs w:val="24"/>
        </w:rPr>
        <w:t>Основен принос за декарбонизацията са мерките, съществуващи и планирани в енергийния сектор, тъй като този сектор представлява основният източник на ПГ.</w:t>
      </w:r>
    </w:p>
    <w:p w14:paraId="6E4C7DDA" w14:textId="77777777" w:rsidR="00321A4C" w:rsidRPr="00D00B47" w:rsidRDefault="00D00B47" w:rsidP="00321A4C">
      <w:pPr>
        <w:spacing w:after="0" w:line="276" w:lineRule="auto"/>
        <w:ind w:firstLine="709"/>
        <w:jc w:val="both"/>
        <w:rPr>
          <w:rFonts w:ascii="Times New Roman" w:hAnsi="Times New Roman" w:cs="Times New Roman"/>
          <w:i/>
          <w:iCs/>
          <w:sz w:val="24"/>
          <w:szCs w:val="24"/>
        </w:rPr>
      </w:pPr>
      <w:r w:rsidRPr="00D00B47">
        <w:rPr>
          <w:rFonts w:ascii="Times New Roman" w:hAnsi="Times New Roman" w:cs="Times New Roman"/>
          <w:i/>
          <w:iCs/>
          <w:sz w:val="24"/>
          <w:szCs w:val="24"/>
        </w:rPr>
        <w:lastRenderedPageBreak/>
        <w:t xml:space="preserve">i. Политики и мерки за изпълнение на целите съгласно Регламент (ЕС) 2018/842, посочени в </w:t>
      </w:r>
      <w:r w:rsidRPr="00564CF7">
        <w:rPr>
          <w:rFonts w:ascii="Times New Roman" w:hAnsi="Times New Roman" w:cs="Times New Roman"/>
          <w:i/>
          <w:iCs/>
          <w:sz w:val="24"/>
          <w:szCs w:val="24"/>
        </w:rPr>
        <w:t>точка 2.1.1</w:t>
      </w:r>
      <w:r w:rsidR="00564CF7" w:rsidRPr="00564CF7">
        <w:rPr>
          <w:rFonts w:ascii="Times New Roman" w:hAnsi="Times New Roman" w:cs="Times New Roman"/>
          <w:i/>
          <w:iCs/>
          <w:sz w:val="24"/>
          <w:szCs w:val="24"/>
        </w:rPr>
        <w:t xml:space="preserve"> </w:t>
      </w:r>
      <w:r w:rsidRPr="00564CF7">
        <w:rPr>
          <w:rFonts w:ascii="Times New Roman" w:hAnsi="Times New Roman" w:cs="Times New Roman"/>
          <w:i/>
          <w:iCs/>
          <w:sz w:val="24"/>
          <w:szCs w:val="24"/>
        </w:rPr>
        <w:t>и политики</w:t>
      </w:r>
      <w:r w:rsidRPr="00D00B47">
        <w:rPr>
          <w:rFonts w:ascii="Times New Roman" w:hAnsi="Times New Roman" w:cs="Times New Roman"/>
          <w:i/>
          <w:iCs/>
          <w:sz w:val="24"/>
          <w:szCs w:val="24"/>
        </w:rPr>
        <w:t xml:space="preserve"> и мерки за съобразяване с Регламент (ЕС) 2018/841, с които се обхващат всички основни източници и сектори за засилване на поглъщанията, с идея за дългосрочната визия и цел за икономика с ниски нива на емисии и постигане на баланс между емисии и поглъщания в съответствие с Парижкото споразумение</w:t>
      </w:r>
    </w:p>
    <w:p w14:paraId="0784F4DB" w14:textId="77777777" w:rsidR="00D00B47" w:rsidRDefault="00D00B47" w:rsidP="00321A4C">
      <w:pPr>
        <w:spacing w:after="0" w:line="276" w:lineRule="auto"/>
        <w:ind w:firstLine="709"/>
        <w:jc w:val="both"/>
        <w:rPr>
          <w:rFonts w:ascii="Times New Roman" w:hAnsi="Times New Roman" w:cs="Times New Roman"/>
          <w:sz w:val="24"/>
          <w:szCs w:val="24"/>
        </w:rPr>
      </w:pPr>
    </w:p>
    <w:p w14:paraId="12B23553" w14:textId="77777777" w:rsidR="00357377" w:rsidRPr="00321A4C" w:rsidRDefault="00321A4C" w:rsidP="00321A4C">
      <w:pPr>
        <w:spacing w:after="0" w:line="276" w:lineRule="auto"/>
        <w:ind w:firstLine="709"/>
        <w:jc w:val="both"/>
        <w:rPr>
          <w:rFonts w:ascii="Times New Roman" w:hAnsi="Times New Roman" w:cs="Times New Roman"/>
          <w:b/>
          <w:i/>
          <w:sz w:val="24"/>
          <w:szCs w:val="24"/>
          <w:u w:val="single"/>
        </w:rPr>
      </w:pPr>
      <w:r w:rsidRPr="00321A4C">
        <w:rPr>
          <w:rFonts w:ascii="Times New Roman" w:hAnsi="Times New Roman" w:cs="Times New Roman"/>
          <w:b/>
          <w:i/>
          <w:sz w:val="24"/>
          <w:szCs w:val="24"/>
          <w:u w:val="single"/>
        </w:rPr>
        <w:t>С</w:t>
      </w:r>
      <w:r w:rsidR="0083664A" w:rsidRPr="00321A4C">
        <w:rPr>
          <w:rFonts w:ascii="Times New Roman" w:hAnsi="Times New Roman" w:cs="Times New Roman"/>
          <w:b/>
          <w:i/>
          <w:sz w:val="24"/>
          <w:szCs w:val="24"/>
          <w:u w:val="single"/>
        </w:rPr>
        <w:t>екторно специфични предложения за мерките и политиките.</w:t>
      </w:r>
    </w:p>
    <w:p w14:paraId="59B47ABB"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b/>
          <w:bCs/>
          <w:color w:val="000000"/>
          <w:sz w:val="24"/>
          <w:szCs w:val="24"/>
        </w:rPr>
        <w:t xml:space="preserve">Сектор Транспорт </w:t>
      </w:r>
    </w:p>
    <w:p w14:paraId="7BD54001" w14:textId="77777777" w:rsidR="0083664A" w:rsidRPr="00321A4C" w:rsidRDefault="0083664A" w:rsidP="00154913">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Основните цели на политиката за намаляване на емисиите на парникови газове в сектор Транспорт са: Насърчаване на производството на електрически и други екологични превозни средства; Насърчаване на потреблението/търсенето на нови екологични превозни средства; Ускорено разгръщане на инфраструктурата за зареждане на електрически и хибридни автомобили; Насърчаване на научноизследователски и развойни дейности, свързани с екологични превозни средства; Организиране на кампании за повишаване на осведомеността, изграждане на капацитет на заинтересованите страни по отношение на развитието на устойчивата мобилност. </w:t>
      </w:r>
    </w:p>
    <w:p w14:paraId="3F057208"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Формулираните приоритети по </w:t>
      </w:r>
      <w:r w:rsidRPr="00321A4C">
        <w:rPr>
          <w:rFonts w:ascii="Times New Roman" w:hAnsi="Times New Roman" w:cs="Times New Roman"/>
          <w:b/>
          <w:bCs/>
          <w:color w:val="000000"/>
          <w:sz w:val="24"/>
          <w:szCs w:val="24"/>
        </w:rPr>
        <w:t xml:space="preserve">Програма „Транспортна свързаност“ 2021 – 2027 година </w:t>
      </w:r>
      <w:r w:rsidRPr="00321A4C">
        <w:rPr>
          <w:rFonts w:ascii="Times New Roman" w:hAnsi="Times New Roman" w:cs="Times New Roman"/>
          <w:color w:val="000000"/>
          <w:sz w:val="24"/>
          <w:szCs w:val="24"/>
        </w:rPr>
        <w:t xml:space="preserve">са: </w:t>
      </w:r>
    </w:p>
    <w:p w14:paraId="4EF4668F" w14:textId="77777777" w:rsidR="0083664A" w:rsidRPr="00321A4C" w:rsidRDefault="0083664A" w:rsidP="004F15F5">
      <w:pPr>
        <w:pStyle w:val="ListParagraph"/>
        <w:numPr>
          <w:ilvl w:val="0"/>
          <w:numId w:val="32"/>
        </w:numPr>
        <w:autoSpaceDE w:val="0"/>
        <w:autoSpaceDN w:val="0"/>
        <w:adjustRightInd w:val="0"/>
        <w:spacing w:after="0" w:line="276" w:lineRule="auto"/>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Приоритет 1 „Развитие на железопътната инфраструктура по „основната“ и „широкообхватната“ Трансевропейска транспортна мрежа“; </w:t>
      </w:r>
    </w:p>
    <w:p w14:paraId="110F6AFF" w14:textId="77777777" w:rsidR="0083664A" w:rsidRPr="00321A4C" w:rsidRDefault="0083664A" w:rsidP="004F15F5">
      <w:pPr>
        <w:pStyle w:val="ListParagraph"/>
        <w:numPr>
          <w:ilvl w:val="0"/>
          <w:numId w:val="32"/>
        </w:numPr>
        <w:autoSpaceDE w:val="0"/>
        <w:autoSpaceDN w:val="0"/>
        <w:adjustRightInd w:val="0"/>
        <w:spacing w:after="0" w:line="276" w:lineRule="auto"/>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Приоритет 2 „Развитие на пътната инфраструктура по „основната“ Трансевропейска транспортна мрежа“ и пътни връзки; </w:t>
      </w:r>
    </w:p>
    <w:p w14:paraId="17887375" w14:textId="77777777" w:rsidR="0083664A" w:rsidRPr="00321A4C" w:rsidRDefault="0083664A" w:rsidP="004F15F5">
      <w:pPr>
        <w:pStyle w:val="ListParagraph"/>
        <w:numPr>
          <w:ilvl w:val="0"/>
          <w:numId w:val="32"/>
        </w:numPr>
        <w:autoSpaceDE w:val="0"/>
        <w:autoSpaceDN w:val="0"/>
        <w:adjustRightInd w:val="0"/>
        <w:spacing w:after="0" w:line="276" w:lineRule="auto"/>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Приоритет 3 „Подобряване на интермодалността, иновации, модернизирани системи за управление на трафика, подобряване на сигурността и безопасността на транспорта“; </w:t>
      </w:r>
    </w:p>
    <w:p w14:paraId="68C21988" w14:textId="77777777" w:rsidR="0083664A" w:rsidRPr="00321A4C" w:rsidRDefault="0083664A" w:rsidP="004F15F5">
      <w:pPr>
        <w:pStyle w:val="ListParagraph"/>
        <w:numPr>
          <w:ilvl w:val="0"/>
          <w:numId w:val="32"/>
        </w:numPr>
        <w:autoSpaceDE w:val="0"/>
        <w:autoSpaceDN w:val="0"/>
        <w:adjustRightInd w:val="0"/>
        <w:spacing w:after="0" w:line="276" w:lineRule="auto"/>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Приоритет 4 „Интермодалност в градска среда“. </w:t>
      </w:r>
    </w:p>
    <w:p w14:paraId="795A61ED" w14:textId="77777777" w:rsidR="00357377" w:rsidRDefault="0083664A" w:rsidP="00321A4C">
      <w:pPr>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sz w:val="24"/>
          <w:szCs w:val="24"/>
        </w:rPr>
        <w:t>Те допринасят за реализацията на Зелената сделка, на Стратегията за устойчива и интелигентна мобилност на ЕК, както и за изпълнението на националната транспортна политика.</w:t>
      </w:r>
    </w:p>
    <w:p w14:paraId="1B6BB40A" w14:textId="77777777" w:rsidR="00321A4C" w:rsidRPr="00321A4C" w:rsidRDefault="00321A4C" w:rsidP="00321A4C">
      <w:pPr>
        <w:spacing w:after="0" w:line="276" w:lineRule="auto"/>
        <w:ind w:firstLine="709"/>
        <w:jc w:val="both"/>
        <w:rPr>
          <w:rFonts w:ascii="Times New Roman" w:hAnsi="Times New Roman" w:cs="Times New Roman"/>
          <w:sz w:val="24"/>
          <w:szCs w:val="24"/>
        </w:rPr>
      </w:pPr>
    </w:p>
    <w:p w14:paraId="0DE6AFB0"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За изпълнение на дейностите </w:t>
      </w:r>
      <w:r w:rsidR="00321A4C">
        <w:rPr>
          <w:rFonts w:ascii="Times New Roman" w:hAnsi="Times New Roman" w:cs="Times New Roman"/>
          <w:color w:val="000000"/>
          <w:sz w:val="24"/>
          <w:szCs w:val="24"/>
        </w:rPr>
        <w:t xml:space="preserve">па приоритет 1 </w:t>
      </w:r>
      <w:r w:rsidRPr="00321A4C">
        <w:rPr>
          <w:rFonts w:ascii="Times New Roman" w:hAnsi="Times New Roman" w:cs="Times New Roman"/>
          <w:color w:val="000000"/>
          <w:sz w:val="24"/>
          <w:szCs w:val="24"/>
        </w:rPr>
        <w:t>ще бъдат финансирани проекти</w:t>
      </w:r>
      <w:r w:rsidR="00321A4C">
        <w:rPr>
          <w:rFonts w:ascii="Times New Roman" w:hAnsi="Times New Roman" w:cs="Times New Roman"/>
          <w:color w:val="000000"/>
          <w:sz w:val="24"/>
          <w:szCs w:val="24"/>
        </w:rPr>
        <w:t>те</w:t>
      </w:r>
      <w:r w:rsidRPr="00321A4C">
        <w:rPr>
          <w:rFonts w:ascii="Times New Roman" w:hAnsi="Times New Roman" w:cs="Times New Roman"/>
          <w:color w:val="000000"/>
          <w:sz w:val="24"/>
          <w:szCs w:val="24"/>
        </w:rPr>
        <w:t xml:space="preserve">. </w:t>
      </w:r>
    </w:p>
    <w:p w14:paraId="65EEB46C" w14:textId="77777777" w:rsidR="0083664A" w:rsidRPr="00321A4C" w:rsidRDefault="0083664A" w:rsidP="004F15F5">
      <w:pPr>
        <w:pStyle w:val="ListParagraph"/>
        <w:numPr>
          <w:ilvl w:val="0"/>
          <w:numId w:val="33"/>
        </w:numPr>
        <w:autoSpaceDE w:val="0"/>
        <w:autoSpaceDN w:val="0"/>
        <w:adjustRightInd w:val="0"/>
        <w:spacing w:after="0" w:line="276" w:lineRule="auto"/>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Модернизация на жп линия София – Пловдив: жп участък Елин Пелин-Костенец, фаза 2; </w:t>
      </w:r>
    </w:p>
    <w:p w14:paraId="118C8A00" w14:textId="77777777" w:rsidR="0083664A" w:rsidRPr="00321A4C" w:rsidRDefault="0083664A" w:rsidP="004F15F5">
      <w:pPr>
        <w:pStyle w:val="ListParagraph"/>
        <w:numPr>
          <w:ilvl w:val="0"/>
          <w:numId w:val="33"/>
        </w:numPr>
        <w:autoSpaceDE w:val="0"/>
        <w:autoSpaceDN w:val="0"/>
        <w:adjustRightInd w:val="0"/>
        <w:spacing w:after="0" w:line="276" w:lineRule="auto"/>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Модернизация на жп линията София – Драгоман – Сръбска граница: жп участък Волуяк - Драгоман, фаза 2 </w:t>
      </w:r>
    </w:p>
    <w:p w14:paraId="5796D1A7" w14:textId="77777777" w:rsidR="0083664A" w:rsidRPr="00321A4C" w:rsidRDefault="0083664A" w:rsidP="004F15F5">
      <w:pPr>
        <w:pStyle w:val="ListParagraph"/>
        <w:numPr>
          <w:ilvl w:val="0"/>
          <w:numId w:val="33"/>
        </w:numPr>
        <w:autoSpaceDE w:val="0"/>
        <w:autoSpaceDN w:val="0"/>
        <w:adjustRightInd w:val="0"/>
        <w:spacing w:after="0" w:line="276" w:lineRule="auto"/>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Модернизация на жп линия София-Перник-Радомир, участък Перник-Радомир </w:t>
      </w:r>
    </w:p>
    <w:p w14:paraId="4FF5E196" w14:textId="77777777" w:rsidR="0083664A" w:rsidRPr="00321A4C" w:rsidRDefault="0083664A" w:rsidP="004F15F5">
      <w:pPr>
        <w:pStyle w:val="ListParagraph"/>
        <w:numPr>
          <w:ilvl w:val="0"/>
          <w:numId w:val="33"/>
        </w:numPr>
        <w:autoSpaceDE w:val="0"/>
        <w:autoSpaceDN w:val="0"/>
        <w:adjustRightInd w:val="0"/>
        <w:spacing w:after="0" w:line="276" w:lineRule="auto"/>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Изграждане на жп връзка между България и Северна Македония </w:t>
      </w:r>
    </w:p>
    <w:p w14:paraId="26DC233E" w14:textId="77777777" w:rsidR="0083664A" w:rsidRPr="00321A4C" w:rsidRDefault="0083664A" w:rsidP="004F15F5">
      <w:pPr>
        <w:pStyle w:val="ListParagraph"/>
        <w:numPr>
          <w:ilvl w:val="0"/>
          <w:numId w:val="33"/>
        </w:numPr>
        <w:autoSpaceDE w:val="0"/>
        <w:autoSpaceDN w:val="0"/>
        <w:adjustRightInd w:val="0"/>
        <w:spacing w:after="0" w:line="276" w:lineRule="auto"/>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Доизграждане на съоръженията по жп линия Карнобат-Синдел </w:t>
      </w:r>
    </w:p>
    <w:p w14:paraId="6640BCA4" w14:textId="77777777" w:rsidR="0083664A" w:rsidRPr="00321A4C" w:rsidRDefault="0083664A" w:rsidP="004F15F5">
      <w:pPr>
        <w:pStyle w:val="ListParagraph"/>
        <w:numPr>
          <w:ilvl w:val="0"/>
          <w:numId w:val="33"/>
        </w:numPr>
        <w:autoSpaceDE w:val="0"/>
        <w:autoSpaceDN w:val="0"/>
        <w:adjustRightInd w:val="0"/>
        <w:spacing w:after="0" w:line="276" w:lineRule="auto"/>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Модернизация на жп линия София-Перник-Радомир, участък София-Перник </w:t>
      </w:r>
    </w:p>
    <w:p w14:paraId="5C91C57B" w14:textId="77777777" w:rsidR="0083664A" w:rsidRPr="00321A4C" w:rsidRDefault="0083664A" w:rsidP="004F15F5">
      <w:pPr>
        <w:pStyle w:val="ListParagraph"/>
        <w:numPr>
          <w:ilvl w:val="0"/>
          <w:numId w:val="33"/>
        </w:numPr>
        <w:autoSpaceDE w:val="0"/>
        <w:autoSpaceDN w:val="0"/>
        <w:adjustRightInd w:val="0"/>
        <w:spacing w:after="0" w:line="276" w:lineRule="auto"/>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lastRenderedPageBreak/>
        <w:t xml:space="preserve">Внедряване на ERTMS, ниво 2 по железопътни линии, извън горепосочените. </w:t>
      </w:r>
    </w:p>
    <w:p w14:paraId="5F51DAB8"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6240B948" w14:textId="77777777" w:rsidR="00357377" w:rsidRPr="00321A4C" w:rsidRDefault="0083664A" w:rsidP="00321A4C">
      <w:pPr>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color w:val="000000"/>
          <w:sz w:val="24"/>
          <w:szCs w:val="24"/>
        </w:rPr>
        <w:t>За отстраняване на „тесните места“ по пътната инфраструктура са предвидени инвестиции по приоритет 2.</w:t>
      </w:r>
    </w:p>
    <w:p w14:paraId="6810E355"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За изпълнение на дейностите ще бъдат финансирани по-долу изброените проекти. </w:t>
      </w:r>
    </w:p>
    <w:p w14:paraId="6AEE2E76" w14:textId="77777777" w:rsidR="0083664A" w:rsidRPr="00321A4C" w:rsidRDefault="0083664A" w:rsidP="004F15F5">
      <w:pPr>
        <w:pStyle w:val="ListParagraph"/>
        <w:numPr>
          <w:ilvl w:val="0"/>
          <w:numId w:val="34"/>
        </w:numPr>
        <w:autoSpaceDE w:val="0"/>
        <w:autoSpaceDN w:val="0"/>
        <w:adjustRightInd w:val="0"/>
        <w:spacing w:after="0" w:line="276" w:lineRule="auto"/>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Изграждане на автомагистрала „Русе – Велико Търново“ и на тунела под Шипка. </w:t>
      </w:r>
    </w:p>
    <w:p w14:paraId="4E794500" w14:textId="77777777" w:rsidR="0083664A" w:rsidRPr="00321A4C" w:rsidRDefault="0083664A" w:rsidP="004F15F5">
      <w:pPr>
        <w:pStyle w:val="ListParagraph"/>
        <w:numPr>
          <w:ilvl w:val="0"/>
          <w:numId w:val="34"/>
        </w:numPr>
        <w:autoSpaceDE w:val="0"/>
        <w:autoSpaceDN w:val="0"/>
        <w:adjustRightInd w:val="0"/>
        <w:spacing w:after="0" w:line="276" w:lineRule="auto"/>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Обход на град Габрово, включително тунел под връх Шипка. </w:t>
      </w:r>
    </w:p>
    <w:p w14:paraId="1D58ECA4" w14:textId="77777777" w:rsidR="0083664A" w:rsidRPr="00321A4C" w:rsidRDefault="0083664A" w:rsidP="004F15F5">
      <w:pPr>
        <w:pStyle w:val="ListParagraph"/>
        <w:numPr>
          <w:ilvl w:val="0"/>
          <w:numId w:val="34"/>
        </w:numPr>
        <w:autoSpaceDE w:val="0"/>
        <w:autoSpaceDN w:val="0"/>
        <w:adjustRightInd w:val="0"/>
        <w:spacing w:after="0" w:line="276" w:lineRule="auto"/>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Изграждане на АМ „Русе – Велико Търново“. </w:t>
      </w:r>
    </w:p>
    <w:p w14:paraId="777B08AC" w14:textId="77777777" w:rsidR="0083664A" w:rsidRPr="00321A4C" w:rsidRDefault="0083664A" w:rsidP="004F15F5">
      <w:pPr>
        <w:pStyle w:val="ListParagraph"/>
        <w:numPr>
          <w:ilvl w:val="0"/>
          <w:numId w:val="34"/>
        </w:numPr>
        <w:autoSpaceDE w:val="0"/>
        <w:autoSpaceDN w:val="0"/>
        <w:adjustRightInd w:val="0"/>
        <w:spacing w:after="0" w:line="276" w:lineRule="auto"/>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Изграждане на Лот 3.2 от АМ Струма. </w:t>
      </w:r>
    </w:p>
    <w:p w14:paraId="4608980F"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52BE4EBD" w14:textId="77777777" w:rsid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Инвестициите по приоритет 3 ще допринесат за развитие и разширение на вътрешно водни и морски пристанища за обществен транспорт за извършване на мултимодални операции, модернизация и развитие на терминали и пристанищни съоръжения за комбиниран транспорт, както и тези за развитие на железопътните възли Горна Оряховица, Русе и Варна. </w:t>
      </w:r>
    </w:p>
    <w:p w14:paraId="69DF99F3"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рамките на приоритет 3 са заложени две основни процедури, както следва: </w:t>
      </w:r>
    </w:p>
    <w:p w14:paraId="4221F1B1" w14:textId="77777777" w:rsidR="0083664A" w:rsidRPr="00321A4C" w:rsidRDefault="0083664A" w:rsidP="004F15F5">
      <w:pPr>
        <w:pStyle w:val="ListParagraph"/>
        <w:numPr>
          <w:ilvl w:val="0"/>
          <w:numId w:val="35"/>
        </w:numPr>
        <w:autoSpaceDE w:val="0"/>
        <w:autoSpaceDN w:val="0"/>
        <w:adjustRightInd w:val="0"/>
        <w:spacing w:after="0" w:line="276" w:lineRule="auto"/>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Процедура </w:t>
      </w:r>
      <w:r w:rsidRPr="00321A4C">
        <w:rPr>
          <w:rFonts w:ascii="Times New Roman" w:hAnsi="Times New Roman" w:cs="Times New Roman"/>
          <w:b/>
          <w:bCs/>
          <w:color w:val="000000"/>
          <w:sz w:val="24"/>
          <w:szCs w:val="24"/>
        </w:rPr>
        <w:t>„Интермодални оператори“</w:t>
      </w:r>
      <w:r w:rsidRPr="00321A4C">
        <w:rPr>
          <w:rFonts w:ascii="Times New Roman" w:hAnsi="Times New Roman" w:cs="Times New Roman"/>
          <w:color w:val="000000"/>
          <w:sz w:val="24"/>
          <w:szCs w:val="24"/>
        </w:rPr>
        <w:t xml:space="preserve">, по която се планира грантова схема с интензитет до 50% за подпомагане на всички интермодални оператори за: </w:t>
      </w:r>
    </w:p>
    <w:p w14:paraId="2B41FB27" w14:textId="77777777" w:rsidR="0083664A" w:rsidRPr="00321A4C" w:rsidRDefault="0083664A" w:rsidP="004F15F5">
      <w:pPr>
        <w:pStyle w:val="ListParagraph"/>
        <w:numPr>
          <w:ilvl w:val="0"/>
          <w:numId w:val="36"/>
        </w:numPr>
        <w:autoSpaceDE w:val="0"/>
        <w:autoSpaceDN w:val="0"/>
        <w:adjustRightInd w:val="0"/>
        <w:spacing w:after="0" w:line="276" w:lineRule="auto"/>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закупуване на оборудване; </w:t>
      </w:r>
    </w:p>
    <w:p w14:paraId="1D4CD792" w14:textId="77777777" w:rsidR="0083664A" w:rsidRPr="00321A4C" w:rsidRDefault="0083664A" w:rsidP="004F15F5">
      <w:pPr>
        <w:pStyle w:val="ListParagraph"/>
        <w:numPr>
          <w:ilvl w:val="0"/>
          <w:numId w:val="36"/>
        </w:numPr>
        <w:autoSpaceDE w:val="0"/>
        <w:autoSpaceDN w:val="0"/>
        <w:adjustRightInd w:val="0"/>
        <w:spacing w:after="0" w:line="276" w:lineRule="auto"/>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изграждане/рехабилитация на жп/пътна инфраструктура; </w:t>
      </w:r>
    </w:p>
    <w:p w14:paraId="27F6ABB2" w14:textId="77777777" w:rsidR="0083664A" w:rsidRPr="00321A4C" w:rsidRDefault="0083664A" w:rsidP="004F15F5">
      <w:pPr>
        <w:pStyle w:val="ListParagraph"/>
        <w:numPr>
          <w:ilvl w:val="0"/>
          <w:numId w:val="36"/>
        </w:numPr>
        <w:autoSpaceDE w:val="0"/>
        <w:autoSpaceDN w:val="0"/>
        <w:adjustRightInd w:val="0"/>
        <w:spacing w:after="0" w:line="276" w:lineRule="auto"/>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площадки за обработка на товари; </w:t>
      </w:r>
    </w:p>
    <w:p w14:paraId="3D259339" w14:textId="77777777" w:rsidR="0083664A" w:rsidRPr="00321A4C" w:rsidRDefault="0083664A" w:rsidP="004F15F5">
      <w:pPr>
        <w:pStyle w:val="ListParagraph"/>
        <w:numPr>
          <w:ilvl w:val="0"/>
          <w:numId w:val="36"/>
        </w:numPr>
        <w:autoSpaceDE w:val="0"/>
        <w:autoSpaceDN w:val="0"/>
        <w:adjustRightInd w:val="0"/>
        <w:spacing w:after="0" w:line="276" w:lineRule="auto"/>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внедряване на ИТ системи и зарядни станции. </w:t>
      </w:r>
    </w:p>
    <w:p w14:paraId="658DB717"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08B5CED7" w14:textId="77777777" w:rsidR="0083664A" w:rsidRPr="00321A4C" w:rsidRDefault="0083664A" w:rsidP="004F15F5">
      <w:pPr>
        <w:pStyle w:val="ListParagraph"/>
        <w:numPr>
          <w:ilvl w:val="0"/>
          <w:numId w:val="35"/>
        </w:numPr>
        <w:autoSpaceDE w:val="0"/>
        <w:autoSpaceDN w:val="0"/>
        <w:adjustRightInd w:val="0"/>
        <w:spacing w:after="0" w:line="276" w:lineRule="auto"/>
        <w:jc w:val="both"/>
        <w:rPr>
          <w:rFonts w:ascii="Times New Roman" w:hAnsi="Times New Roman" w:cs="Times New Roman"/>
          <w:color w:val="000000"/>
          <w:sz w:val="24"/>
          <w:szCs w:val="24"/>
        </w:rPr>
      </w:pPr>
      <w:r w:rsidRPr="00321A4C">
        <w:rPr>
          <w:rFonts w:ascii="Times New Roman" w:hAnsi="Times New Roman" w:cs="Times New Roman"/>
          <w:b/>
          <w:bCs/>
          <w:color w:val="000000"/>
          <w:sz w:val="24"/>
          <w:szCs w:val="24"/>
        </w:rPr>
        <w:t>Процедура „Алтернативни горива“</w:t>
      </w:r>
      <w:r w:rsidRPr="00321A4C">
        <w:rPr>
          <w:rFonts w:ascii="Times New Roman" w:hAnsi="Times New Roman" w:cs="Times New Roman"/>
          <w:color w:val="000000"/>
          <w:sz w:val="24"/>
          <w:szCs w:val="24"/>
        </w:rPr>
        <w:t xml:space="preserve">, по която ще бъде финансирано изграждането на инфраструктура за алтернативни горива по РПМ (по TEN-T), както и в пристанищата за обществен транспорт (морски и вътрешно-водни) по TEN-T. </w:t>
      </w:r>
    </w:p>
    <w:p w14:paraId="41CCCDA5"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допълнение на инвестициите по приоритет 1, по приоритет 4 се включват инвестиции за изграждане на жп връзки към летище Пловдив и летище Бургас, които ще подобрят интермодалността и ще създадат по-добри условия за ефективно използване и комбиниране на видовете транспорт в градски условия. </w:t>
      </w:r>
    </w:p>
    <w:p w14:paraId="68FA0DFA" w14:textId="77777777" w:rsidR="00321A4C" w:rsidRDefault="00321A4C"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5BF72442" w14:textId="77777777" w:rsidR="0083664A" w:rsidRPr="00154913" w:rsidRDefault="0083664A" w:rsidP="00321A4C">
      <w:pPr>
        <w:autoSpaceDE w:val="0"/>
        <w:autoSpaceDN w:val="0"/>
        <w:adjustRightInd w:val="0"/>
        <w:spacing w:after="0" w:line="276" w:lineRule="auto"/>
        <w:ind w:firstLine="709"/>
        <w:jc w:val="both"/>
        <w:rPr>
          <w:rFonts w:ascii="Times New Roman" w:hAnsi="Times New Roman" w:cs="Times New Roman"/>
          <w:b/>
          <w:i/>
          <w:color w:val="000000"/>
          <w:sz w:val="24"/>
          <w:szCs w:val="24"/>
        </w:rPr>
      </w:pPr>
      <w:r w:rsidRPr="00154913">
        <w:rPr>
          <w:rFonts w:ascii="Times New Roman" w:hAnsi="Times New Roman" w:cs="Times New Roman"/>
          <w:b/>
          <w:i/>
          <w:color w:val="000000"/>
          <w:sz w:val="24"/>
          <w:szCs w:val="24"/>
        </w:rPr>
        <w:t xml:space="preserve">Интегрирана транспортна стратегия в периода до 2030 г. </w:t>
      </w:r>
    </w:p>
    <w:p w14:paraId="3336DC28"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Стратегията очертава основните насоки за развитие на националната транспортна система в периода до 2030 г. В документа са определени 3 стратегически цели, които обхващат 9 стратегически приоритети, всеки от който съдържа рамка от конкретни цели (задачи). На тази база са набелязани мерки, които са най-подходящи за постигане на съответните цели. </w:t>
      </w:r>
    </w:p>
    <w:p w14:paraId="5AA8BEC0"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Стратегическите цели на транспортната политика до 2030 г. са: </w:t>
      </w:r>
    </w:p>
    <w:p w14:paraId="16AAABE3"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lastRenderedPageBreak/>
        <w:t xml:space="preserve">• Повишаване на ефективността и конкурентоспособността на транспортния сектор; </w:t>
      </w:r>
    </w:p>
    <w:p w14:paraId="2C90D8AA"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Подобряване на транспортната свързаност и достъпност (вътрешна и външна); </w:t>
      </w:r>
    </w:p>
    <w:p w14:paraId="4BD4CA3F"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Ограничаване на отрицателните ефекти от развитие на транспортния сектор. </w:t>
      </w:r>
    </w:p>
    <w:p w14:paraId="3D5FC095"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1D6BEAF9"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Стратегическите приоритети в развитието на транспорта са: </w:t>
      </w:r>
    </w:p>
    <w:p w14:paraId="502219F0"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Ефективно поддържане, модернизация и развитие на транспортната инфраструктура; </w:t>
      </w:r>
    </w:p>
    <w:p w14:paraId="4749F0F7"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Подобряване на управлението на транспортната система; </w:t>
      </w:r>
    </w:p>
    <w:p w14:paraId="7AAE1954"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Развитие на интермодален транспорт; </w:t>
      </w:r>
    </w:p>
    <w:p w14:paraId="040EB769"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Подобряване на условията за прилагане на принципите на либерализация на транспортния пазар; </w:t>
      </w:r>
    </w:p>
    <w:p w14:paraId="439EEF6A"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Намаляване на потреблението на горива и повишаване на енергийната ефективност на транспорта; </w:t>
      </w:r>
    </w:p>
    <w:p w14:paraId="43539F28"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Подобряване на свързаността на българската транспортна система с единното европейско транспортно пространство; </w:t>
      </w:r>
    </w:p>
    <w:p w14:paraId="7A0D9FB7"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Осигуряване на качествен и достъпен транспорт във всички райони на страната; </w:t>
      </w:r>
    </w:p>
    <w:p w14:paraId="77B515AE"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Ограничаване на негативното въздействие на транспорта върху околната среда и здравето на хората; </w:t>
      </w:r>
    </w:p>
    <w:p w14:paraId="790DAB1E"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Повишаване на сигурността и безопасността на транспортната система. </w:t>
      </w:r>
    </w:p>
    <w:p w14:paraId="1C6AA84B"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обхвата на стратегическия документ е подготвен и Национален транспортен модел, който е разработен за пътническия и товарния транспорт и е приложим за отделните видове транспорт в рамките на страната, международния и транзитния транспорт. </w:t>
      </w:r>
    </w:p>
    <w:p w14:paraId="42C70B9B"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Насърчаване на устойчивата градска мобилност </w:t>
      </w:r>
    </w:p>
    <w:p w14:paraId="69150249"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Мерките в транспортния сектор с непосредствено действие са, както следва: </w:t>
      </w:r>
    </w:p>
    <w:p w14:paraId="6605A793"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Рехабилитация и модернизация на съществуващата пътна инфраструктура за осигуряване на оптимална скорост и оптимални режими на управление на автомобилните двигатели; </w:t>
      </w:r>
    </w:p>
    <w:p w14:paraId="01FA9251"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Въвеждане на интелигентни транспортни системи по националната и градската пътна мрежа; </w:t>
      </w:r>
    </w:p>
    <w:p w14:paraId="04CBCDB9"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Увеличаване дела на обществения електрически транспорт - железопътен, тролейбусен, трамваен, метро; </w:t>
      </w:r>
    </w:p>
    <w:p w14:paraId="199FF0B4"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Разработване и изграждане на интермодални терминали за комбиниран транспорт; </w:t>
      </w:r>
    </w:p>
    <w:p w14:paraId="27E1E03B"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Увеличаване на дела на биогоривата. </w:t>
      </w:r>
    </w:p>
    <w:p w14:paraId="1F640087" w14:textId="77777777" w:rsidR="00321A4C" w:rsidRDefault="00321A4C"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5A750901" w14:textId="77777777" w:rsid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Интелигентните транспортни системи в градските условия могат да включват интегрирано управление на таксите за обществен транспорт, засилено управление на взаимоотношенията с клиентите, прогнози за трафика, подобрено управление на трафика, информация за пътниците и събиране на пътни такси. </w:t>
      </w:r>
    </w:p>
    <w:p w14:paraId="56E75845"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рамките на Инвестиционна програма за климата се прилагат следните схеми: </w:t>
      </w:r>
    </w:p>
    <w:p w14:paraId="04323C9E"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lastRenderedPageBreak/>
        <w:t xml:space="preserve">- Схема за подобряване енергийната ефективност на сгради и други обекти (Схема енергийна ефективност - СЕЕ); </w:t>
      </w:r>
    </w:p>
    <w:p w14:paraId="164C1BF1" w14:textId="77777777" w:rsidR="006767A8" w:rsidRPr="006E3A16" w:rsidRDefault="0083664A" w:rsidP="00321A4C">
      <w:pPr>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color w:val="000000"/>
          <w:sz w:val="24"/>
          <w:szCs w:val="24"/>
        </w:rPr>
        <w:t>- Схема за насърчаване използването на електрически превозни средства (Схема електромобили - СЕМ).</w:t>
      </w:r>
    </w:p>
    <w:p w14:paraId="00D8BC47" w14:textId="77777777" w:rsidR="00154913" w:rsidRDefault="00154913"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15BBAD76"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Пътни такси </w:t>
      </w:r>
    </w:p>
    <w:p w14:paraId="5BFA4E26"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През 2019 г. Агенция „Пътна инфраструктура“ въвежда електронна система за събиране на пътни такси от пътните превозни средства. </w:t>
      </w:r>
    </w:p>
    <w:p w14:paraId="2C94FBAF"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От 1 януари 2019 г. пътните превозни средства до 3.5 тона ще трябва да закупуват електронна винетка за ползване на пътната инфраструктура – таксуване по време. </w:t>
      </w:r>
    </w:p>
    <w:p w14:paraId="6A882BB5" w14:textId="77777777" w:rsidR="00154913" w:rsidRDefault="00154913"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0501B55F" w14:textId="77777777" w:rsidR="0083664A"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Нови политики и мерки, както и продължение на съществуващите такива</w:t>
      </w:r>
      <w:r w:rsidR="00154913">
        <w:rPr>
          <w:rFonts w:ascii="Times New Roman" w:hAnsi="Times New Roman" w:cs="Times New Roman"/>
          <w:color w:val="000000"/>
          <w:sz w:val="24"/>
          <w:szCs w:val="24"/>
        </w:rPr>
        <w:t xml:space="preserve"> </w:t>
      </w:r>
      <w:r w:rsidRPr="00321A4C">
        <w:rPr>
          <w:rFonts w:ascii="Times New Roman" w:hAnsi="Times New Roman" w:cs="Times New Roman"/>
          <w:color w:val="000000"/>
          <w:sz w:val="24"/>
          <w:szCs w:val="24"/>
        </w:rPr>
        <w:t>в сектор Транспорт относно модернизирането на автопарка са заложени в Националната програма за контрол на замърсяв</w:t>
      </w:r>
      <w:r w:rsidR="00D00B47">
        <w:rPr>
          <w:rFonts w:ascii="Times New Roman" w:hAnsi="Times New Roman" w:cs="Times New Roman"/>
          <w:color w:val="000000"/>
          <w:sz w:val="24"/>
          <w:szCs w:val="24"/>
        </w:rPr>
        <w:t>ането на въздуха 2020 -2030 г.</w:t>
      </w:r>
    </w:p>
    <w:p w14:paraId="2D979F3B"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Насърчаване на използването на хибридни и електрически превозни средства, в съответствие с Третия национален план за действие по изменението на климата ; </w:t>
      </w:r>
    </w:p>
    <w:p w14:paraId="2CC46A3C" w14:textId="77777777" w:rsidR="00D00B47" w:rsidRDefault="00D00B47" w:rsidP="00321A4C">
      <w:pPr>
        <w:pStyle w:val="Default"/>
        <w:spacing w:line="276" w:lineRule="auto"/>
        <w:ind w:firstLine="709"/>
        <w:jc w:val="both"/>
        <w:rPr>
          <w:lang w:val="bg-BG"/>
        </w:rPr>
      </w:pPr>
    </w:p>
    <w:p w14:paraId="062C446F" w14:textId="77777777" w:rsidR="0083664A" w:rsidRPr="00321A4C" w:rsidRDefault="0083664A" w:rsidP="00321A4C">
      <w:pPr>
        <w:pStyle w:val="Default"/>
        <w:spacing w:line="276" w:lineRule="auto"/>
        <w:ind w:firstLine="709"/>
        <w:jc w:val="both"/>
        <w:rPr>
          <w:lang w:val="bg-BG"/>
        </w:rPr>
      </w:pPr>
      <w:r w:rsidRPr="00321A4C">
        <w:t xml:space="preserve">По ПНИИДИТ в рамките на Приоритет 1 „Устойчиво развитие на българската научно-изследователска и иновационна екосистема“ Приоритетно направление 1 „Устойчиво </w:t>
      </w:r>
      <w:r w:rsidRPr="00321A4C">
        <w:rPr>
          <w:lang w:val="bg-BG"/>
        </w:rPr>
        <w:t xml:space="preserve">развитие на националния капацитет за научни изследвания и иновации“ е предвидена подкрепа за устойчивото развитие на Центрове за върхови постижения (ЦВП) и Центрове за компетентност (ЦК), изградени по Оперативна програма „Наука и образование за интелигентен растеж“ 2014-2020 г. (ОПНОИР). </w:t>
      </w:r>
    </w:p>
    <w:p w14:paraId="6B4A187C"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рамките на Иновационната стратегия за интелигентна специализация (ИСИС) 2021-2027 г., в тематична област </w:t>
      </w:r>
      <w:r w:rsidR="00154913">
        <w:rPr>
          <w:rFonts w:ascii="Times New Roman" w:hAnsi="Times New Roman" w:cs="Times New Roman"/>
          <w:color w:val="000000"/>
          <w:sz w:val="24"/>
          <w:szCs w:val="24"/>
        </w:rPr>
        <w:t>„</w:t>
      </w:r>
      <w:r w:rsidRPr="00321A4C">
        <w:rPr>
          <w:rFonts w:ascii="Times New Roman" w:hAnsi="Times New Roman" w:cs="Times New Roman"/>
          <w:color w:val="000000"/>
          <w:sz w:val="24"/>
          <w:szCs w:val="24"/>
        </w:rPr>
        <w:t xml:space="preserve">Чисти технологии, кръгова и нисковъглеродна икономика” една от приоритетните области е Разработване и внедряване на технологии свързани с устойчивата мобилност (батерийна и водородна), базирана на водород и други алтернативни горива, свързана инфраструктура и еко-мобилността. </w:t>
      </w:r>
    </w:p>
    <w:p w14:paraId="149A35CD" w14:textId="77777777" w:rsidR="0083664A"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Един от центровете, определен като конкретен бенефициент е Център за компетентност ХИТМОБИЛ – Технологии и системи за генериране, съхранение и потребление на чиста енергия. Центърът е насочен към научни изследвания, експериментално развитие и трансфер на знания в областта „Технологии и системи за генериране, съхранение и потребление на чиста енергия“. </w:t>
      </w:r>
    </w:p>
    <w:p w14:paraId="7B0EAA8C"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Министерството на транспорта и съобщенията разработи Национален план за развитие на комбинирания транспорт в Република България до 2030 г. (одобрен с Решение № 504 на Министерския съвет от 21.07.2022 г.). Той представлява базов документ за провеждането на политиката за подпомагане на устойчивите видове транспорт. Предложена е и Програма за изпълнение, обвързана с времевия хоризонт до 2030 г. и с потенциалните източници за финансиране. Идентифицирани са три групи мерки: 1) организационни и административни, 2) експлоатационни и подпомагане на услугата и 3) инфраструктурни. </w:t>
      </w:r>
      <w:r w:rsidRPr="00321A4C">
        <w:rPr>
          <w:rFonts w:ascii="Times New Roman" w:hAnsi="Times New Roman" w:cs="Times New Roman"/>
          <w:color w:val="000000"/>
          <w:sz w:val="24"/>
          <w:szCs w:val="24"/>
        </w:rPr>
        <w:lastRenderedPageBreak/>
        <w:t xml:space="preserve">Изпълнението им е от голямо значение, защото ще повиши ефективността на транспортната система, чрез използване на предимствата на комбинирания транспорт (по-ниски емисии на вредни вещества, повишена пътна безопасност, ограничаване на шума поради намаляване на автомобилните превози, намалена употреба на конвенционални горива в транспорта) пред ползването само на автомобилен транспорт за превози на товари. </w:t>
      </w:r>
    </w:p>
    <w:p w14:paraId="7CB1BC16" w14:textId="77777777" w:rsidR="006A1393" w:rsidRPr="00BB087D" w:rsidRDefault="0083664A" w:rsidP="00321A4C">
      <w:pPr>
        <w:spacing w:after="0" w:line="276" w:lineRule="auto"/>
        <w:ind w:firstLine="709"/>
        <w:jc w:val="both"/>
        <w:rPr>
          <w:rFonts w:ascii="Times New Roman" w:hAnsi="Times New Roman" w:cs="Times New Roman"/>
          <w:sz w:val="24"/>
          <w:szCs w:val="24"/>
          <w:lang w:val="en-US"/>
        </w:rPr>
      </w:pPr>
      <w:r w:rsidRPr="00321A4C">
        <w:rPr>
          <w:rFonts w:ascii="Times New Roman" w:hAnsi="Times New Roman" w:cs="Times New Roman"/>
          <w:color w:val="000000"/>
          <w:sz w:val="24"/>
          <w:szCs w:val="24"/>
        </w:rPr>
        <w:t>Планът ще съдейства за реализацията на проекти за развитие на мрежа от съвременни интермодални терминали и определянето на стимули към бизнеса за прилагане на по-ефективни и екологични транспортни решения и вериги. До 2030 г. е заложено изграждане на интермодални терминали в София и Северна България, както и проучване на необходимостта от изграждане на терминал във Видин. Документът включва мерки за развитие на логистични центрове у нас и за подобряване на довеждащата жп инфраструктура до съществуващи пристанищни и железопътно-пътни терминали.</w:t>
      </w:r>
    </w:p>
    <w:p w14:paraId="49898251"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3B592DAD" w14:textId="77777777" w:rsidR="0083664A"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Улесняване на информирания избор на транспортно превозно средство за увеличаване на броя на закупените превозни средства с по-ниско ниво на вредни емисии (съответстващо на Евро IV, V или VI). </w:t>
      </w:r>
    </w:p>
    <w:p w14:paraId="673A0DED" w14:textId="77777777" w:rsidR="006E3A16" w:rsidRPr="00321A4C" w:rsidRDefault="006E3A16"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39353343"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b/>
          <w:bCs/>
          <w:color w:val="000000"/>
          <w:sz w:val="24"/>
          <w:szCs w:val="24"/>
        </w:rPr>
        <w:t xml:space="preserve">Сектор Индустрия </w:t>
      </w:r>
    </w:p>
    <w:p w14:paraId="48FC55F9"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Мерките в индустриалния сектор са насочени към: </w:t>
      </w:r>
    </w:p>
    <w:p w14:paraId="137B19FC"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По-висока енергийна ефективност в промишлеността и намаляване на топлинните загуби; </w:t>
      </w:r>
    </w:p>
    <w:p w14:paraId="74A09AEE"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Увеличаване използването на природен газ в промишлеността чрез нова газова инфраструктура; </w:t>
      </w:r>
    </w:p>
    <w:p w14:paraId="50649A1D"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Използване на алтернативни горива; </w:t>
      </w:r>
    </w:p>
    <w:p w14:paraId="3E793BE7"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Въвеждане на стимули за насърчаване на частния сектор да инвестира в научноизследователска и развойна дейност и иновации на широко използвани производствени методи, насочени към оптимална ефективност на ресурсите; </w:t>
      </w:r>
    </w:p>
    <w:p w14:paraId="4BFBDFF0"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Насърчаване на обмена на добри практики между предприятията по отношение на ефективното използване на суровините в производството; </w:t>
      </w:r>
    </w:p>
    <w:p w14:paraId="18CADDEB"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Системи за мониторинг за използване на енергия в промишлеността; </w:t>
      </w:r>
    </w:p>
    <w:p w14:paraId="39B05125"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Одити за енергийна ефективност и изпълнение на предписаните мерки; </w:t>
      </w:r>
    </w:p>
    <w:p w14:paraId="3C25CAF0"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Разработване на стимули за предприятия, които осъществяват индустриална симбиоза като: </w:t>
      </w:r>
    </w:p>
    <w:p w14:paraId="10E73281"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използване на странични продукти от едно предприятие за суровина на друго; </w:t>
      </w:r>
    </w:p>
    <w:p w14:paraId="10894620"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споделяне на комунални услуги - енергия, вода или пречистване на отпадъчни води, за намаляване на разходите и подобряване производителността на ресурсите и екологичните показатели; </w:t>
      </w:r>
    </w:p>
    <w:p w14:paraId="7D53E322"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споделяне на услуги като логистика, съвместен маркетинг (напр. споделени центрове за обаждания) и консултации; </w:t>
      </w:r>
    </w:p>
    <w:p w14:paraId="163D8152"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lastRenderedPageBreak/>
        <w:t xml:space="preserve">• насърчаване с допълнителна финансова компенсация закупуването на крайни продукти от технологии за нулеви нетни емисии с висок принос към икономическата устойчивост; </w:t>
      </w:r>
    </w:p>
    <w:p w14:paraId="5096E4E7"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предлагане на подобрени процедури за издаване на разрешителни за следните стратегически нетно нулеви технологии, които да засилят интереса у инвеститора: </w:t>
      </w:r>
    </w:p>
    <w:p w14:paraId="47D86203"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слънчеви фотоволтаични и слънчеви топлинни технологии </w:t>
      </w:r>
    </w:p>
    <w:p w14:paraId="5334DCBD"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наземни и офшорни възобновяеми технологии </w:t>
      </w:r>
    </w:p>
    <w:p w14:paraId="2E051BB9"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батерии и технологии за съхранение </w:t>
      </w:r>
    </w:p>
    <w:p w14:paraId="1505529D" w14:textId="77777777" w:rsidR="006A1393" w:rsidRPr="00321A4C" w:rsidRDefault="0083664A" w:rsidP="00321A4C">
      <w:pPr>
        <w:spacing w:after="0" w:line="276" w:lineRule="auto"/>
        <w:ind w:firstLine="709"/>
        <w:jc w:val="both"/>
        <w:rPr>
          <w:rFonts w:ascii="Times New Roman" w:hAnsi="Times New Roman" w:cs="Times New Roman"/>
          <w:color w:val="FF0000"/>
          <w:sz w:val="24"/>
          <w:szCs w:val="24"/>
        </w:rPr>
      </w:pPr>
      <w:r w:rsidRPr="00321A4C">
        <w:rPr>
          <w:rFonts w:ascii="Times New Roman" w:hAnsi="Times New Roman" w:cs="Times New Roman"/>
          <w:color w:val="000000"/>
          <w:sz w:val="24"/>
          <w:szCs w:val="24"/>
        </w:rPr>
        <w:t>- термопомпи и геотермална енергия</w:t>
      </w:r>
    </w:p>
    <w:p w14:paraId="083F12AD"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електролизьори и горивни клетки </w:t>
      </w:r>
    </w:p>
    <w:p w14:paraId="76BC2ED1"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устойчиво добивани биогаз и биометан </w:t>
      </w:r>
    </w:p>
    <w:p w14:paraId="2C5CFC11"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улавяне и съхранение на въглероден диоксид </w:t>
      </w:r>
    </w:p>
    <w:p w14:paraId="063EE0A3"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мрежови технологии </w:t>
      </w:r>
    </w:p>
    <w:p w14:paraId="353C7321"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Подобряване условията за инвестиции в технологии за нулеви нетни емисии чрез: </w:t>
      </w:r>
    </w:p>
    <w:p w14:paraId="6B198F61"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подобряване на информираността сред заинтересованите лица; </w:t>
      </w:r>
    </w:p>
    <w:p w14:paraId="4E9E66A3"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намаляване на административната тежест за създаване на проекти в тази област; </w:t>
      </w:r>
    </w:p>
    <w:p w14:paraId="2DD4525C"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опростяване и рационализиране на процесите за издаване на разрешителни. </w:t>
      </w:r>
    </w:p>
    <w:p w14:paraId="4568506A" w14:textId="77777777" w:rsidR="006E3A16" w:rsidRDefault="006E3A16"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4DE1C6CD"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b/>
          <w:bCs/>
          <w:color w:val="000000"/>
          <w:sz w:val="24"/>
          <w:szCs w:val="24"/>
        </w:rPr>
        <w:t xml:space="preserve">Сектор Селско стопанство </w:t>
      </w:r>
    </w:p>
    <w:p w14:paraId="69948D92"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Законът за подпомагане на земеделските производители (ЗПЗП) регламентира държавната подкрепа за земеделските производители по отношение на изпълнението на мерките, включени в Стратегическия план за развитие на земеделието и селските райони за периода 2021 -</w:t>
      </w:r>
      <w:r w:rsidR="006E3A16">
        <w:rPr>
          <w:rFonts w:ascii="Times New Roman" w:hAnsi="Times New Roman" w:cs="Times New Roman"/>
          <w:color w:val="000000"/>
          <w:sz w:val="24"/>
          <w:szCs w:val="24"/>
        </w:rPr>
        <w:t xml:space="preserve"> </w:t>
      </w:r>
      <w:r w:rsidRPr="00321A4C">
        <w:rPr>
          <w:rFonts w:ascii="Times New Roman" w:hAnsi="Times New Roman" w:cs="Times New Roman"/>
          <w:color w:val="000000"/>
          <w:sz w:val="24"/>
          <w:szCs w:val="24"/>
        </w:rPr>
        <w:t xml:space="preserve">2027 г. Помощта се предоставя на земеделски производители, включително които оперират и са регистрирани в райони в неравностойно положение или в райони, попадащи на територията на мрежата </w:t>
      </w:r>
      <w:r w:rsidR="006E3A16">
        <w:rPr>
          <w:rFonts w:ascii="Times New Roman" w:hAnsi="Times New Roman" w:cs="Times New Roman"/>
          <w:color w:val="000000"/>
          <w:sz w:val="24"/>
          <w:szCs w:val="24"/>
        </w:rPr>
        <w:t>„</w:t>
      </w:r>
      <w:r w:rsidRPr="00321A4C">
        <w:rPr>
          <w:rFonts w:ascii="Times New Roman" w:hAnsi="Times New Roman" w:cs="Times New Roman"/>
          <w:color w:val="000000"/>
          <w:sz w:val="24"/>
          <w:szCs w:val="24"/>
        </w:rPr>
        <w:t xml:space="preserve">Натура 2000". </w:t>
      </w:r>
    </w:p>
    <w:p w14:paraId="030817D9" w14:textId="77777777" w:rsidR="006A1393" w:rsidRPr="00321A4C" w:rsidRDefault="0083664A" w:rsidP="00321A4C">
      <w:pPr>
        <w:spacing w:after="0" w:line="276" w:lineRule="auto"/>
        <w:ind w:firstLine="709"/>
        <w:jc w:val="both"/>
        <w:rPr>
          <w:rFonts w:ascii="Times New Roman" w:hAnsi="Times New Roman" w:cs="Times New Roman"/>
          <w:color w:val="FF0000"/>
          <w:sz w:val="24"/>
          <w:szCs w:val="24"/>
        </w:rPr>
      </w:pPr>
      <w:r w:rsidRPr="00321A4C">
        <w:rPr>
          <w:rFonts w:ascii="Times New Roman" w:hAnsi="Times New Roman" w:cs="Times New Roman"/>
          <w:color w:val="000000"/>
          <w:sz w:val="24"/>
          <w:szCs w:val="24"/>
        </w:rPr>
        <w:t>Закон за защита на земеделските земи позволява промяна на земеделската земя само в определени специфични случаи.</w:t>
      </w:r>
    </w:p>
    <w:p w14:paraId="68879255"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Изгарянето на стърнища и други растителни остатъци в земеделските земи е забранено. Ползвателите и собствениците на земеделска земя са отговорни за изгарянето на стърнища и други растителни отпадъци на земеделската земя и трябва да участват в тяхното гасене. </w:t>
      </w:r>
    </w:p>
    <w:p w14:paraId="3405B10E"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Законът съдържа правна рамка, обхващаща някои от дейностите, предвидени за сектора на селското стопанство, като противодействие на изгарянето на стърнища и растителни отпадъци и насърчаване на селскостопанските практики, насочени към намаляване на емисиите на парникови газове. </w:t>
      </w:r>
    </w:p>
    <w:p w14:paraId="59663F53"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Мерките в Третия национален план за действие за изменение на климата с хоризонт до 2030 г. и Национална програма за контрол на замърсяването на въздуха 2020 г. – 2030 г. са насочени към намаляване на емисиите от основните източници в сектора. Едно от основните предизвикателства, пред които е изправена ОСП, е намирането на решение на все по-влошените производствени условия в селското стопанство поради изменението на </w:t>
      </w:r>
      <w:r w:rsidRPr="00321A4C">
        <w:rPr>
          <w:rFonts w:ascii="Times New Roman" w:hAnsi="Times New Roman" w:cs="Times New Roman"/>
          <w:color w:val="000000"/>
          <w:sz w:val="24"/>
          <w:szCs w:val="24"/>
        </w:rPr>
        <w:lastRenderedPageBreak/>
        <w:t xml:space="preserve">климата и необходимостта земеделските стопани да намалят своя дял от парниковите газове, да играят активна роля за смекчаване на изменението на климата и за предоставяне на енергия от възобновяеми източници. </w:t>
      </w:r>
    </w:p>
    <w:p w14:paraId="429839CE"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Въз основа на анализа на основните източници на емисии в селското стопанство се определят следните две основни цели: </w:t>
      </w:r>
    </w:p>
    <w:p w14:paraId="64EE67D4" w14:textId="77777777" w:rsidR="0083664A" w:rsidRPr="006E3A16" w:rsidRDefault="0083664A" w:rsidP="004F15F5">
      <w:pPr>
        <w:pStyle w:val="ListParagraph"/>
        <w:numPr>
          <w:ilvl w:val="0"/>
          <w:numId w:val="37"/>
        </w:numPr>
        <w:autoSpaceDE w:val="0"/>
        <w:autoSpaceDN w:val="0"/>
        <w:adjustRightInd w:val="0"/>
        <w:spacing w:after="0" w:line="276" w:lineRule="auto"/>
        <w:jc w:val="both"/>
        <w:rPr>
          <w:rFonts w:ascii="Times New Roman" w:hAnsi="Times New Roman" w:cs="Times New Roman"/>
          <w:color w:val="000000"/>
          <w:sz w:val="24"/>
          <w:szCs w:val="24"/>
        </w:rPr>
      </w:pPr>
      <w:r w:rsidRPr="006E3A16">
        <w:rPr>
          <w:rFonts w:ascii="Times New Roman" w:hAnsi="Times New Roman" w:cs="Times New Roman"/>
          <w:color w:val="000000"/>
          <w:sz w:val="24"/>
          <w:szCs w:val="24"/>
        </w:rPr>
        <w:t xml:space="preserve">Намаляване и / или оптимизиране на емисиите от селскостопанския сектор; </w:t>
      </w:r>
    </w:p>
    <w:p w14:paraId="2912219C" w14:textId="77777777" w:rsidR="0083664A" w:rsidRPr="006E3A16" w:rsidRDefault="0083664A" w:rsidP="004F15F5">
      <w:pPr>
        <w:pStyle w:val="ListParagraph"/>
        <w:numPr>
          <w:ilvl w:val="0"/>
          <w:numId w:val="37"/>
        </w:numPr>
        <w:autoSpaceDE w:val="0"/>
        <w:autoSpaceDN w:val="0"/>
        <w:adjustRightInd w:val="0"/>
        <w:spacing w:after="0" w:line="276" w:lineRule="auto"/>
        <w:jc w:val="both"/>
        <w:rPr>
          <w:rFonts w:ascii="Times New Roman" w:hAnsi="Times New Roman" w:cs="Times New Roman"/>
          <w:color w:val="000000"/>
          <w:sz w:val="24"/>
          <w:szCs w:val="24"/>
        </w:rPr>
      </w:pPr>
      <w:r w:rsidRPr="006E3A16">
        <w:rPr>
          <w:rFonts w:ascii="Times New Roman" w:hAnsi="Times New Roman" w:cs="Times New Roman"/>
          <w:color w:val="000000"/>
          <w:sz w:val="24"/>
          <w:szCs w:val="24"/>
        </w:rPr>
        <w:t xml:space="preserve">Повишаване на осведомеността и познанията както на фермерите, така и на администрацията по отношение на действията и въздействието им върху изменението на климата. </w:t>
      </w:r>
    </w:p>
    <w:p w14:paraId="37A01F3C"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14DB182B"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До тези основни цели се отнасят следните приоритети: </w:t>
      </w:r>
    </w:p>
    <w:p w14:paraId="343AD528" w14:textId="77777777" w:rsidR="0083664A" w:rsidRPr="006E3A16" w:rsidRDefault="0083664A" w:rsidP="004F15F5">
      <w:pPr>
        <w:pStyle w:val="ListParagraph"/>
        <w:numPr>
          <w:ilvl w:val="0"/>
          <w:numId w:val="38"/>
        </w:numPr>
        <w:autoSpaceDE w:val="0"/>
        <w:autoSpaceDN w:val="0"/>
        <w:adjustRightInd w:val="0"/>
        <w:spacing w:after="0" w:line="276" w:lineRule="auto"/>
        <w:ind w:left="1080"/>
        <w:jc w:val="both"/>
        <w:rPr>
          <w:rFonts w:ascii="Times New Roman" w:hAnsi="Times New Roman" w:cs="Times New Roman"/>
          <w:color w:val="000000"/>
          <w:sz w:val="24"/>
          <w:szCs w:val="24"/>
        </w:rPr>
      </w:pPr>
      <w:r w:rsidRPr="006E3A16">
        <w:rPr>
          <w:rFonts w:ascii="Times New Roman" w:hAnsi="Times New Roman" w:cs="Times New Roman"/>
          <w:color w:val="000000"/>
          <w:sz w:val="24"/>
          <w:szCs w:val="24"/>
        </w:rPr>
        <w:t xml:space="preserve">Намаляване на емисиите от земеделска земя; </w:t>
      </w:r>
    </w:p>
    <w:p w14:paraId="50102776" w14:textId="77777777" w:rsidR="0083664A" w:rsidRPr="006E3A16" w:rsidRDefault="0083664A" w:rsidP="004F15F5">
      <w:pPr>
        <w:pStyle w:val="ListParagraph"/>
        <w:numPr>
          <w:ilvl w:val="0"/>
          <w:numId w:val="38"/>
        </w:numPr>
        <w:autoSpaceDE w:val="0"/>
        <w:autoSpaceDN w:val="0"/>
        <w:adjustRightInd w:val="0"/>
        <w:spacing w:after="0" w:line="276" w:lineRule="auto"/>
        <w:ind w:left="1080"/>
        <w:jc w:val="both"/>
        <w:rPr>
          <w:rFonts w:ascii="Times New Roman" w:hAnsi="Times New Roman" w:cs="Times New Roman"/>
          <w:color w:val="000000"/>
          <w:sz w:val="24"/>
          <w:szCs w:val="24"/>
        </w:rPr>
      </w:pPr>
      <w:r w:rsidRPr="006E3A16">
        <w:rPr>
          <w:rFonts w:ascii="Times New Roman" w:hAnsi="Times New Roman" w:cs="Times New Roman"/>
          <w:color w:val="000000"/>
          <w:sz w:val="24"/>
          <w:szCs w:val="24"/>
        </w:rPr>
        <w:t xml:space="preserve">Намаляване на емисиите на метан от биологичната ферментация в животновъдството; </w:t>
      </w:r>
    </w:p>
    <w:p w14:paraId="16C6C218" w14:textId="77777777" w:rsidR="0083664A" w:rsidRPr="006E3A16" w:rsidRDefault="0083664A" w:rsidP="004F15F5">
      <w:pPr>
        <w:pStyle w:val="ListParagraph"/>
        <w:numPr>
          <w:ilvl w:val="0"/>
          <w:numId w:val="38"/>
        </w:numPr>
        <w:autoSpaceDE w:val="0"/>
        <w:autoSpaceDN w:val="0"/>
        <w:adjustRightInd w:val="0"/>
        <w:spacing w:after="0" w:line="276" w:lineRule="auto"/>
        <w:ind w:left="1080"/>
        <w:jc w:val="both"/>
        <w:rPr>
          <w:rFonts w:ascii="Times New Roman" w:hAnsi="Times New Roman" w:cs="Times New Roman"/>
          <w:color w:val="000000"/>
          <w:sz w:val="24"/>
          <w:szCs w:val="24"/>
        </w:rPr>
      </w:pPr>
      <w:r w:rsidRPr="006E3A16">
        <w:rPr>
          <w:rFonts w:ascii="Times New Roman" w:hAnsi="Times New Roman" w:cs="Times New Roman"/>
          <w:color w:val="000000"/>
          <w:sz w:val="24"/>
          <w:szCs w:val="24"/>
        </w:rPr>
        <w:t xml:space="preserve">Подобряване управлението на оборския тор; </w:t>
      </w:r>
    </w:p>
    <w:p w14:paraId="6210DF98" w14:textId="77777777" w:rsidR="0083664A" w:rsidRPr="006E3A16" w:rsidRDefault="0083664A" w:rsidP="004F15F5">
      <w:pPr>
        <w:pStyle w:val="ListParagraph"/>
        <w:numPr>
          <w:ilvl w:val="0"/>
          <w:numId w:val="38"/>
        </w:numPr>
        <w:autoSpaceDE w:val="0"/>
        <w:autoSpaceDN w:val="0"/>
        <w:adjustRightInd w:val="0"/>
        <w:spacing w:after="0" w:line="276" w:lineRule="auto"/>
        <w:ind w:left="1080"/>
        <w:jc w:val="both"/>
        <w:rPr>
          <w:rFonts w:ascii="Times New Roman" w:hAnsi="Times New Roman" w:cs="Times New Roman"/>
          <w:color w:val="000000"/>
          <w:sz w:val="24"/>
          <w:szCs w:val="24"/>
        </w:rPr>
      </w:pPr>
      <w:r w:rsidRPr="006E3A16">
        <w:rPr>
          <w:rFonts w:ascii="Times New Roman" w:hAnsi="Times New Roman" w:cs="Times New Roman"/>
          <w:color w:val="000000"/>
          <w:sz w:val="24"/>
          <w:szCs w:val="24"/>
        </w:rPr>
        <w:t xml:space="preserve">Оптимизиране на използването на растителни остатъци в селското стопанство; </w:t>
      </w:r>
    </w:p>
    <w:p w14:paraId="3C5EB1FF" w14:textId="77777777" w:rsidR="0083664A" w:rsidRPr="006E3A16" w:rsidRDefault="0083664A" w:rsidP="004F15F5">
      <w:pPr>
        <w:pStyle w:val="ListParagraph"/>
        <w:numPr>
          <w:ilvl w:val="0"/>
          <w:numId w:val="38"/>
        </w:numPr>
        <w:autoSpaceDE w:val="0"/>
        <w:autoSpaceDN w:val="0"/>
        <w:adjustRightInd w:val="0"/>
        <w:spacing w:after="0" w:line="276" w:lineRule="auto"/>
        <w:ind w:left="1080"/>
        <w:jc w:val="both"/>
        <w:rPr>
          <w:rFonts w:ascii="Times New Roman" w:hAnsi="Times New Roman" w:cs="Times New Roman"/>
          <w:color w:val="000000"/>
          <w:sz w:val="24"/>
          <w:szCs w:val="24"/>
        </w:rPr>
      </w:pPr>
      <w:r w:rsidRPr="006E3A16">
        <w:rPr>
          <w:rFonts w:ascii="Times New Roman" w:hAnsi="Times New Roman" w:cs="Times New Roman"/>
          <w:color w:val="000000"/>
          <w:sz w:val="24"/>
          <w:szCs w:val="24"/>
        </w:rPr>
        <w:t xml:space="preserve">Подобряване на управлението на оризовите полета и технологиите за производство на ориз; </w:t>
      </w:r>
    </w:p>
    <w:p w14:paraId="17DF4D12" w14:textId="77777777" w:rsidR="0083664A" w:rsidRPr="006E3A16" w:rsidRDefault="0083664A" w:rsidP="004F15F5">
      <w:pPr>
        <w:pStyle w:val="ListParagraph"/>
        <w:numPr>
          <w:ilvl w:val="0"/>
          <w:numId w:val="38"/>
        </w:numPr>
        <w:autoSpaceDE w:val="0"/>
        <w:autoSpaceDN w:val="0"/>
        <w:adjustRightInd w:val="0"/>
        <w:spacing w:after="0" w:line="276" w:lineRule="auto"/>
        <w:ind w:left="1080"/>
        <w:jc w:val="both"/>
        <w:rPr>
          <w:rFonts w:ascii="Times New Roman" w:hAnsi="Times New Roman" w:cs="Times New Roman"/>
          <w:color w:val="000000"/>
          <w:sz w:val="24"/>
          <w:szCs w:val="24"/>
        </w:rPr>
      </w:pPr>
      <w:r w:rsidRPr="006E3A16">
        <w:rPr>
          <w:rFonts w:ascii="Times New Roman" w:hAnsi="Times New Roman" w:cs="Times New Roman"/>
          <w:color w:val="000000"/>
          <w:sz w:val="24"/>
          <w:szCs w:val="24"/>
        </w:rPr>
        <w:t xml:space="preserve">Подобряване на познанията на земеделските стопани и администрацията по отношение на намаляването на емисиите от сектора на селското стопанство. </w:t>
      </w:r>
    </w:p>
    <w:p w14:paraId="6C9C5F50" w14:textId="77777777" w:rsidR="0083664A" w:rsidRPr="00321A4C" w:rsidRDefault="0083664A" w:rsidP="006E3A16">
      <w:pPr>
        <w:autoSpaceDE w:val="0"/>
        <w:autoSpaceDN w:val="0"/>
        <w:adjustRightInd w:val="0"/>
        <w:spacing w:after="0" w:line="276" w:lineRule="auto"/>
        <w:ind w:left="-349" w:firstLine="709"/>
        <w:jc w:val="both"/>
        <w:rPr>
          <w:rFonts w:ascii="Times New Roman" w:hAnsi="Times New Roman" w:cs="Times New Roman"/>
          <w:color w:val="000000"/>
          <w:sz w:val="24"/>
          <w:szCs w:val="24"/>
        </w:rPr>
      </w:pPr>
    </w:p>
    <w:p w14:paraId="46016D9C"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Мерките, предвидени в Третия национален план за действие за изменение на климата, с хоризонт до 2030 г. и Националната програма за контрол на замърсяването на въздуха 2020-2030 г. включват: </w:t>
      </w:r>
    </w:p>
    <w:p w14:paraId="3FD6C2BA" w14:textId="77777777" w:rsidR="0083664A" w:rsidRPr="006E3A16" w:rsidRDefault="0083664A" w:rsidP="004F15F5">
      <w:pPr>
        <w:pStyle w:val="ListParagraph"/>
        <w:numPr>
          <w:ilvl w:val="0"/>
          <w:numId w:val="39"/>
        </w:numPr>
        <w:autoSpaceDE w:val="0"/>
        <w:autoSpaceDN w:val="0"/>
        <w:adjustRightInd w:val="0"/>
        <w:spacing w:after="0" w:line="276" w:lineRule="auto"/>
        <w:jc w:val="both"/>
        <w:rPr>
          <w:rFonts w:ascii="Times New Roman" w:hAnsi="Times New Roman" w:cs="Times New Roman"/>
          <w:color w:val="000000"/>
          <w:sz w:val="24"/>
          <w:szCs w:val="24"/>
        </w:rPr>
      </w:pPr>
      <w:r w:rsidRPr="006E3A16">
        <w:rPr>
          <w:rFonts w:ascii="Times New Roman" w:hAnsi="Times New Roman" w:cs="Times New Roman"/>
          <w:color w:val="000000"/>
          <w:sz w:val="24"/>
          <w:szCs w:val="24"/>
        </w:rPr>
        <w:t xml:space="preserve">Стимулиране използването на подходящи сеитбообороти, особено с азот-фиксиращи култури; </w:t>
      </w:r>
    </w:p>
    <w:p w14:paraId="2CF9373B" w14:textId="77777777" w:rsidR="006E3A16" w:rsidRPr="006E3A16" w:rsidRDefault="006E3A16" w:rsidP="004F15F5">
      <w:pPr>
        <w:pStyle w:val="ListParagraph"/>
        <w:numPr>
          <w:ilvl w:val="0"/>
          <w:numId w:val="39"/>
        </w:numPr>
        <w:autoSpaceDE w:val="0"/>
        <w:autoSpaceDN w:val="0"/>
        <w:adjustRightInd w:val="0"/>
        <w:spacing w:after="0" w:line="240" w:lineRule="auto"/>
        <w:rPr>
          <w:rFonts w:ascii="Times New Roman" w:hAnsi="Times New Roman" w:cs="Times New Roman"/>
          <w:color w:val="000000"/>
          <w:sz w:val="24"/>
          <w:szCs w:val="24"/>
        </w:rPr>
      </w:pPr>
      <w:r w:rsidRPr="006E3A16">
        <w:rPr>
          <w:rFonts w:ascii="Times New Roman" w:hAnsi="Times New Roman" w:cs="Times New Roman"/>
          <w:color w:val="000000"/>
          <w:sz w:val="24"/>
          <w:szCs w:val="24"/>
        </w:rPr>
        <w:t xml:space="preserve">Управление на деградирали земеделски земи чрез: </w:t>
      </w:r>
    </w:p>
    <w:p w14:paraId="6FC8AE38" w14:textId="77777777" w:rsidR="0083664A" w:rsidRPr="006E3A16" w:rsidRDefault="0083664A" w:rsidP="004F15F5">
      <w:pPr>
        <w:pStyle w:val="ListParagraph"/>
        <w:numPr>
          <w:ilvl w:val="0"/>
          <w:numId w:val="40"/>
        </w:numPr>
        <w:autoSpaceDE w:val="0"/>
        <w:autoSpaceDN w:val="0"/>
        <w:adjustRightInd w:val="0"/>
        <w:spacing w:after="0" w:line="276" w:lineRule="auto"/>
        <w:jc w:val="both"/>
        <w:rPr>
          <w:rFonts w:ascii="Times New Roman" w:hAnsi="Times New Roman" w:cs="Times New Roman"/>
          <w:color w:val="000000"/>
          <w:sz w:val="24"/>
          <w:szCs w:val="24"/>
        </w:rPr>
      </w:pPr>
      <w:r w:rsidRPr="006E3A16">
        <w:rPr>
          <w:rFonts w:ascii="Times New Roman" w:hAnsi="Times New Roman" w:cs="Times New Roman"/>
          <w:color w:val="000000"/>
          <w:sz w:val="24"/>
          <w:szCs w:val="24"/>
        </w:rPr>
        <w:t xml:space="preserve">биологична рекултивация с типични за региона тревни видове и </w:t>
      </w:r>
    </w:p>
    <w:p w14:paraId="00D087BE" w14:textId="77777777" w:rsidR="0083664A" w:rsidRPr="006E3A16" w:rsidRDefault="0083664A" w:rsidP="004F15F5">
      <w:pPr>
        <w:pStyle w:val="ListParagraph"/>
        <w:numPr>
          <w:ilvl w:val="0"/>
          <w:numId w:val="40"/>
        </w:numPr>
        <w:autoSpaceDE w:val="0"/>
        <w:autoSpaceDN w:val="0"/>
        <w:adjustRightInd w:val="0"/>
        <w:spacing w:after="0" w:line="276" w:lineRule="auto"/>
        <w:jc w:val="both"/>
        <w:rPr>
          <w:rFonts w:ascii="Times New Roman" w:hAnsi="Times New Roman" w:cs="Times New Roman"/>
          <w:color w:val="000000"/>
          <w:sz w:val="24"/>
          <w:szCs w:val="24"/>
        </w:rPr>
      </w:pPr>
      <w:r w:rsidRPr="006E3A16">
        <w:rPr>
          <w:rFonts w:ascii="Times New Roman" w:hAnsi="Times New Roman" w:cs="Times New Roman"/>
          <w:color w:val="000000"/>
          <w:sz w:val="24"/>
          <w:szCs w:val="24"/>
        </w:rPr>
        <w:t xml:space="preserve">прилагане на мерки за контрол на ерозията и методи за обработка на почвата; </w:t>
      </w:r>
    </w:p>
    <w:p w14:paraId="5AF43EFE" w14:textId="77777777" w:rsidR="0083664A" w:rsidRPr="006E3A16" w:rsidRDefault="0083664A" w:rsidP="004F15F5">
      <w:pPr>
        <w:pStyle w:val="ListParagraph"/>
        <w:numPr>
          <w:ilvl w:val="0"/>
          <w:numId w:val="41"/>
        </w:numPr>
        <w:autoSpaceDE w:val="0"/>
        <w:autoSpaceDN w:val="0"/>
        <w:adjustRightInd w:val="0"/>
        <w:spacing w:after="0" w:line="276" w:lineRule="auto"/>
        <w:jc w:val="both"/>
        <w:rPr>
          <w:rFonts w:ascii="Times New Roman" w:hAnsi="Times New Roman" w:cs="Times New Roman"/>
          <w:color w:val="000000"/>
          <w:sz w:val="24"/>
          <w:szCs w:val="24"/>
        </w:rPr>
      </w:pPr>
      <w:r w:rsidRPr="006E3A16">
        <w:rPr>
          <w:rFonts w:ascii="Times New Roman" w:hAnsi="Times New Roman" w:cs="Times New Roman"/>
          <w:color w:val="000000"/>
          <w:sz w:val="24"/>
          <w:szCs w:val="24"/>
        </w:rPr>
        <w:t xml:space="preserve">Въвеждане на технологии за напояване и спестяване на вода и енергия, насърчаване на екстензивното земеделие; </w:t>
      </w:r>
    </w:p>
    <w:p w14:paraId="67216E3D" w14:textId="77777777" w:rsidR="0083664A" w:rsidRPr="006E3A16" w:rsidRDefault="0083664A" w:rsidP="004F15F5">
      <w:pPr>
        <w:pStyle w:val="ListParagraph"/>
        <w:numPr>
          <w:ilvl w:val="0"/>
          <w:numId w:val="41"/>
        </w:numPr>
        <w:autoSpaceDE w:val="0"/>
        <w:autoSpaceDN w:val="0"/>
        <w:adjustRightInd w:val="0"/>
        <w:spacing w:after="0" w:line="276" w:lineRule="auto"/>
        <w:jc w:val="both"/>
        <w:rPr>
          <w:rFonts w:ascii="Times New Roman" w:hAnsi="Times New Roman" w:cs="Times New Roman"/>
          <w:color w:val="000000"/>
          <w:sz w:val="24"/>
          <w:szCs w:val="24"/>
        </w:rPr>
      </w:pPr>
      <w:r w:rsidRPr="006E3A16">
        <w:rPr>
          <w:rFonts w:ascii="Times New Roman" w:hAnsi="Times New Roman" w:cs="Times New Roman"/>
          <w:color w:val="000000"/>
          <w:sz w:val="24"/>
          <w:szCs w:val="24"/>
        </w:rPr>
        <w:t xml:space="preserve">Мерки за намаляване на метановите емисии от биологичната ферментация в животновъдството; </w:t>
      </w:r>
    </w:p>
    <w:p w14:paraId="088F08E8" w14:textId="77777777" w:rsidR="0083664A" w:rsidRPr="006E3A16" w:rsidRDefault="0083664A" w:rsidP="004F15F5">
      <w:pPr>
        <w:pStyle w:val="ListParagraph"/>
        <w:numPr>
          <w:ilvl w:val="0"/>
          <w:numId w:val="41"/>
        </w:numPr>
        <w:autoSpaceDE w:val="0"/>
        <w:autoSpaceDN w:val="0"/>
        <w:adjustRightInd w:val="0"/>
        <w:spacing w:after="0" w:line="276" w:lineRule="auto"/>
        <w:jc w:val="both"/>
        <w:rPr>
          <w:rFonts w:ascii="Times New Roman" w:hAnsi="Times New Roman" w:cs="Times New Roman"/>
          <w:color w:val="000000"/>
          <w:sz w:val="24"/>
          <w:szCs w:val="24"/>
        </w:rPr>
      </w:pPr>
      <w:r w:rsidRPr="006E3A16">
        <w:rPr>
          <w:rFonts w:ascii="Times New Roman" w:hAnsi="Times New Roman" w:cs="Times New Roman"/>
          <w:color w:val="000000"/>
          <w:sz w:val="24"/>
          <w:szCs w:val="24"/>
        </w:rPr>
        <w:t xml:space="preserve">Подобряване на управлението и използването на оборския тор; </w:t>
      </w:r>
    </w:p>
    <w:p w14:paraId="72557196" w14:textId="77777777" w:rsidR="0083664A" w:rsidRPr="006E3A16" w:rsidRDefault="0083664A" w:rsidP="004F15F5">
      <w:pPr>
        <w:pStyle w:val="ListParagraph"/>
        <w:numPr>
          <w:ilvl w:val="0"/>
          <w:numId w:val="41"/>
        </w:numPr>
        <w:autoSpaceDE w:val="0"/>
        <w:autoSpaceDN w:val="0"/>
        <w:adjustRightInd w:val="0"/>
        <w:spacing w:after="0" w:line="276" w:lineRule="auto"/>
        <w:jc w:val="both"/>
        <w:rPr>
          <w:rFonts w:ascii="Times New Roman" w:hAnsi="Times New Roman" w:cs="Times New Roman"/>
          <w:color w:val="000000"/>
          <w:sz w:val="24"/>
          <w:szCs w:val="24"/>
        </w:rPr>
      </w:pPr>
      <w:r w:rsidRPr="006E3A16">
        <w:rPr>
          <w:rFonts w:ascii="Times New Roman" w:hAnsi="Times New Roman" w:cs="Times New Roman"/>
          <w:color w:val="000000"/>
          <w:sz w:val="24"/>
          <w:szCs w:val="24"/>
        </w:rPr>
        <w:t xml:space="preserve">Въвеждане на нисковъглеродни практики за обработка на оборски тор, напр. стимулиране на зеленото торене; </w:t>
      </w:r>
    </w:p>
    <w:p w14:paraId="52F3885E" w14:textId="77777777" w:rsidR="0083664A" w:rsidRPr="006E3A16" w:rsidRDefault="0083664A" w:rsidP="004F15F5">
      <w:pPr>
        <w:pStyle w:val="ListParagraph"/>
        <w:numPr>
          <w:ilvl w:val="0"/>
          <w:numId w:val="41"/>
        </w:numPr>
        <w:autoSpaceDE w:val="0"/>
        <w:autoSpaceDN w:val="0"/>
        <w:adjustRightInd w:val="0"/>
        <w:spacing w:after="0" w:line="276" w:lineRule="auto"/>
        <w:jc w:val="both"/>
        <w:rPr>
          <w:rFonts w:ascii="Times New Roman" w:hAnsi="Times New Roman" w:cs="Times New Roman"/>
          <w:color w:val="000000"/>
          <w:sz w:val="24"/>
          <w:szCs w:val="24"/>
        </w:rPr>
      </w:pPr>
      <w:r w:rsidRPr="006E3A16">
        <w:rPr>
          <w:rFonts w:ascii="Times New Roman" w:hAnsi="Times New Roman" w:cs="Times New Roman"/>
          <w:color w:val="000000"/>
          <w:sz w:val="24"/>
          <w:szCs w:val="24"/>
        </w:rPr>
        <w:t xml:space="preserve">Подобряване на осведомеността и знанията на земеделските производители относно възможната употреба на растителни остатъци и заплахите, породени от изгарянето на стърнища; </w:t>
      </w:r>
    </w:p>
    <w:p w14:paraId="63C3682C" w14:textId="77777777" w:rsidR="0083664A" w:rsidRPr="006E3A16" w:rsidRDefault="0083664A" w:rsidP="004F15F5">
      <w:pPr>
        <w:pStyle w:val="ListParagraph"/>
        <w:numPr>
          <w:ilvl w:val="0"/>
          <w:numId w:val="41"/>
        </w:numPr>
        <w:autoSpaceDE w:val="0"/>
        <w:autoSpaceDN w:val="0"/>
        <w:adjustRightInd w:val="0"/>
        <w:spacing w:after="0" w:line="276" w:lineRule="auto"/>
        <w:jc w:val="both"/>
        <w:rPr>
          <w:rFonts w:ascii="Times New Roman" w:hAnsi="Times New Roman" w:cs="Times New Roman"/>
          <w:color w:val="000000"/>
          <w:sz w:val="24"/>
          <w:szCs w:val="24"/>
        </w:rPr>
      </w:pPr>
      <w:r w:rsidRPr="006E3A16">
        <w:rPr>
          <w:rFonts w:ascii="Times New Roman" w:hAnsi="Times New Roman" w:cs="Times New Roman"/>
          <w:color w:val="000000"/>
          <w:sz w:val="24"/>
          <w:szCs w:val="24"/>
        </w:rPr>
        <w:lastRenderedPageBreak/>
        <w:t xml:space="preserve">Прилагане на Правила за добра селскостопанска практика за контрол на емисиите на амоняк, изпускани във въздуха от селскостопански източници, въз основа на Рамковия кодекс на ИКЕ на ООН за добра селскостопанска практика за намаляване на емисиите на амоняк: </w:t>
      </w:r>
    </w:p>
    <w:p w14:paraId="5A803AA5" w14:textId="77777777" w:rsidR="0083664A" w:rsidRPr="006E3A16" w:rsidRDefault="0083664A" w:rsidP="004F15F5">
      <w:pPr>
        <w:pStyle w:val="ListParagraph"/>
        <w:numPr>
          <w:ilvl w:val="0"/>
          <w:numId w:val="42"/>
        </w:numPr>
        <w:autoSpaceDE w:val="0"/>
        <w:autoSpaceDN w:val="0"/>
        <w:adjustRightInd w:val="0"/>
        <w:spacing w:after="0" w:line="276" w:lineRule="auto"/>
        <w:jc w:val="both"/>
        <w:rPr>
          <w:rFonts w:ascii="Times New Roman" w:hAnsi="Times New Roman" w:cs="Times New Roman"/>
          <w:color w:val="000000"/>
          <w:sz w:val="24"/>
          <w:szCs w:val="24"/>
        </w:rPr>
      </w:pPr>
      <w:r w:rsidRPr="006E3A16">
        <w:rPr>
          <w:rFonts w:ascii="Times New Roman" w:hAnsi="Times New Roman" w:cs="Times New Roman"/>
          <w:color w:val="000000"/>
          <w:sz w:val="24"/>
          <w:szCs w:val="24"/>
        </w:rPr>
        <w:t xml:space="preserve">добри практики за прилагане на торове / оборски тор с ниски емисии и засилване на прилагането на Директивата за нитратите) </w:t>
      </w:r>
    </w:p>
    <w:p w14:paraId="0456C3E8" w14:textId="77777777" w:rsidR="0083664A" w:rsidRPr="006E3A16" w:rsidRDefault="0083664A" w:rsidP="004F15F5">
      <w:pPr>
        <w:pStyle w:val="ListParagraph"/>
        <w:numPr>
          <w:ilvl w:val="0"/>
          <w:numId w:val="42"/>
        </w:numPr>
        <w:autoSpaceDE w:val="0"/>
        <w:autoSpaceDN w:val="0"/>
        <w:adjustRightInd w:val="0"/>
        <w:spacing w:after="0" w:line="276" w:lineRule="auto"/>
        <w:jc w:val="both"/>
        <w:rPr>
          <w:rFonts w:ascii="Times New Roman" w:hAnsi="Times New Roman" w:cs="Times New Roman"/>
          <w:color w:val="000000"/>
          <w:sz w:val="24"/>
          <w:szCs w:val="24"/>
        </w:rPr>
      </w:pPr>
      <w:r w:rsidRPr="006E3A16">
        <w:rPr>
          <w:rFonts w:ascii="Times New Roman" w:hAnsi="Times New Roman" w:cs="Times New Roman"/>
          <w:color w:val="000000"/>
          <w:sz w:val="24"/>
          <w:szCs w:val="24"/>
        </w:rPr>
        <w:t xml:space="preserve">добри практики за управление на животински тор. </w:t>
      </w:r>
    </w:p>
    <w:p w14:paraId="0FA64758"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Принос за постигане на целите и изпълнението на приоритетите към измерение „Декарбонизация“ с пряк или косвен ефект имат екологичните схеми за климата, околната среда и хуманното отношение към животните, включени в Стратегическия план за развитие на земеделието и селските райони за периода 2023-2027 г. </w:t>
      </w:r>
    </w:p>
    <w:p w14:paraId="790BA6F3"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Следните еко-схеми са разработени в отговор на нуждите от намаляване на емисиите от сектора на селското стопанство и са достъпни за прилагане в кампания 2023 г. от земеделските стопани: </w:t>
      </w:r>
    </w:p>
    <w:p w14:paraId="4F10AA05"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I.В.1 - Еко схема за биологично земеделие (селскостопански животни); </w:t>
      </w:r>
    </w:p>
    <w:p w14:paraId="4D575177"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I.В.2 - Еко схема за поддържане и подобряване на биологичното разнообразие и екологичната инфраструктура; </w:t>
      </w:r>
    </w:p>
    <w:p w14:paraId="29DD1F4B"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I.В.3 - Еко схема за запазване и възстановяване на почвения потенциал – насърчаване на зелено торене и органично наторяване; </w:t>
      </w:r>
    </w:p>
    <w:p w14:paraId="23064AA7"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I.В.4 - Еко схема за намаляване използването на пестициди; </w:t>
      </w:r>
    </w:p>
    <w:p w14:paraId="436AAA4E"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I.В.5 - Еко схема за екологично поддържане на трайните насаждения; </w:t>
      </w:r>
    </w:p>
    <w:p w14:paraId="6E1450AB"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I.В.6 - Еко схема за екстензивно поддържане на постоянно затревените площи; </w:t>
      </w:r>
    </w:p>
    <w:p w14:paraId="1C67A443"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I.В.7 - Еко схема за поддържане и подобряване на биоразнообразието в горски екосистеми; </w:t>
      </w:r>
    </w:p>
    <w:p w14:paraId="4F1566CB" w14:textId="77777777" w:rsidR="006A1393" w:rsidRPr="00321A4C" w:rsidRDefault="0083664A" w:rsidP="00321A4C">
      <w:pPr>
        <w:spacing w:after="0" w:line="276" w:lineRule="auto"/>
        <w:ind w:firstLine="709"/>
        <w:jc w:val="both"/>
        <w:rPr>
          <w:rFonts w:ascii="Times New Roman" w:hAnsi="Times New Roman" w:cs="Times New Roman"/>
          <w:color w:val="FF0000"/>
          <w:sz w:val="24"/>
          <w:szCs w:val="24"/>
        </w:rPr>
      </w:pPr>
      <w:r w:rsidRPr="00321A4C">
        <w:rPr>
          <w:rFonts w:ascii="Times New Roman" w:hAnsi="Times New Roman" w:cs="Times New Roman"/>
          <w:color w:val="000000"/>
          <w:sz w:val="24"/>
          <w:szCs w:val="24"/>
        </w:rPr>
        <w:t>I.В.8 - Еко схема за разнообразяване на отглежданите култури.</w:t>
      </w:r>
    </w:p>
    <w:p w14:paraId="03156C64"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Част от еко-схемите съответстват на мерките, предвидени в Третия национален план за действие за изменение на климата с хоризонт до 2030 г. и Националната програма за контрол на замърсяването на въздуха 2020 г. – 2030 г., а именно: </w:t>
      </w:r>
    </w:p>
    <w:p w14:paraId="67EBE85B" w14:textId="77777777" w:rsidR="00D00B47" w:rsidRDefault="00D00B47"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603DD575"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За повишаване на знанията и уменията на земеделските стопани Национална служба за съвети в земеделието (НССЗ) предоставя съвети и индивидуални консултации на земеделските стопани по мерки с косвен и пряк ефект върху намалението на емисиите на парникови газове за следните мерки: </w:t>
      </w:r>
    </w:p>
    <w:p w14:paraId="3F32D7A6" w14:textId="77777777" w:rsidR="0083664A" w:rsidRPr="006E3A16" w:rsidRDefault="0083664A" w:rsidP="004F15F5">
      <w:pPr>
        <w:pStyle w:val="ListParagraph"/>
        <w:numPr>
          <w:ilvl w:val="0"/>
          <w:numId w:val="43"/>
        </w:numPr>
        <w:autoSpaceDE w:val="0"/>
        <w:autoSpaceDN w:val="0"/>
        <w:adjustRightInd w:val="0"/>
        <w:spacing w:after="0" w:line="276" w:lineRule="auto"/>
        <w:jc w:val="both"/>
        <w:rPr>
          <w:rFonts w:ascii="Times New Roman" w:hAnsi="Times New Roman" w:cs="Times New Roman"/>
          <w:color w:val="000000"/>
          <w:sz w:val="24"/>
          <w:szCs w:val="24"/>
        </w:rPr>
      </w:pPr>
      <w:r w:rsidRPr="006E3A16">
        <w:rPr>
          <w:rFonts w:ascii="Times New Roman" w:hAnsi="Times New Roman" w:cs="Times New Roman"/>
          <w:color w:val="000000"/>
          <w:sz w:val="24"/>
          <w:szCs w:val="24"/>
        </w:rPr>
        <w:t xml:space="preserve">Дейности за опазване на хумуса (наторяване – прецизно торене, зелено торене; варуване; щадяща почвообработка, сеитбооборот, противоерозионни дейности и др.); </w:t>
      </w:r>
    </w:p>
    <w:p w14:paraId="1C87D599" w14:textId="77777777" w:rsidR="0083664A" w:rsidRPr="006E3A16" w:rsidRDefault="0083664A" w:rsidP="004F15F5">
      <w:pPr>
        <w:pStyle w:val="ListParagraph"/>
        <w:numPr>
          <w:ilvl w:val="0"/>
          <w:numId w:val="43"/>
        </w:numPr>
        <w:autoSpaceDE w:val="0"/>
        <w:autoSpaceDN w:val="0"/>
        <w:adjustRightInd w:val="0"/>
        <w:spacing w:after="0" w:line="276" w:lineRule="auto"/>
        <w:jc w:val="both"/>
        <w:rPr>
          <w:rFonts w:ascii="Times New Roman" w:hAnsi="Times New Roman" w:cs="Times New Roman"/>
          <w:color w:val="000000"/>
          <w:sz w:val="24"/>
          <w:szCs w:val="24"/>
        </w:rPr>
      </w:pPr>
      <w:r w:rsidRPr="006E3A16">
        <w:rPr>
          <w:rFonts w:ascii="Times New Roman" w:hAnsi="Times New Roman" w:cs="Times New Roman"/>
          <w:color w:val="000000"/>
          <w:sz w:val="24"/>
          <w:szCs w:val="24"/>
        </w:rPr>
        <w:t xml:space="preserve">Водоспестяващи и енергоспестяващи поливни технологии; </w:t>
      </w:r>
    </w:p>
    <w:p w14:paraId="2219FD57" w14:textId="77777777" w:rsidR="0083664A" w:rsidRPr="006E3A16" w:rsidRDefault="0083664A" w:rsidP="004F15F5">
      <w:pPr>
        <w:pStyle w:val="ListParagraph"/>
        <w:numPr>
          <w:ilvl w:val="0"/>
          <w:numId w:val="43"/>
        </w:numPr>
        <w:autoSpaceDE w:val="0"/>
        <w:autoSpaceDN w:val="0"/>
        <w:adjustRightInd w:val="0"/>
        <w:spacing w:after="0" w:line="276" w:lineRule="auto"/>
        <w:jc w:val="both"/>
        <w:rPr>
          <w:rFonts w:ascii="Times New Roman" w:hAnsi="Times New Roman" w:cs="Times New Roman"/>
          <w:color w:val="000000"/>
          <w:sz w:val="24"/>
          <w:szCs w:val="24"/>
        </w:rPr>
      </w:pPr>
      <w:r w:rsidRPr="006E3A16">
        <w:rPr>
          <w:rFonts w:ascii="Times New Roman" w:hAnsi="Times New Roman" w:cs="Times New Roman"/>
          <w:color w:val="000000"/>
          <w:sz w:val="24"/>
          <w:szCs w:val="24"/>
        </w:rPr>
        <w:t xml:space="preserve">Екстензивно пасищно отглеждане на животните; </w:t>
      </w:r>
    </w:p>
    <w:p w14:paraId="5A18B344" w14:textId="77777777" w:rsidR="0083664A" w:rsidRPr="006E3A16" w:rsidRDefault="0083664A" w:rsidP="004F15F5">
      <w:pPr>
        <w:pStyle w:val="ListParagraph"/>
        <w:numPr>
          <w:ilvl w:val="0"/>
          <w:numId w:val="43"/>
        </w:numPr>
        <w:autoSpaceDE w:val="0"/>
        <w:autoSpaceDN w:val="0"/>
        <w:adjustRightInd w:val="0"/>
        <w:spacing w:after="0" w:line="276" w:lineRule="auto"/>
        <w:jc w:val="both"/>
        <w:rPr>
          <w:rFonts w:ascii="Times New Roman" w:hAnsi="Times New Roman" w:cs="Times New Roman"/>
          <w:color w:val="000000"/>
          <w:sz w:val="24"/>
          <w:szCs w:val="24"/>
        </w:rPr>
      </w:pPr>
      <w:r w:rsidRPr="006E3A16">
        <w:rPr>
          <w:rFonts w:ascii="Times New Roman" w:hAnsi="Times New Roman" w:cs="Times New Roman"/>
          <w:color w:val="000000"/>
          <w:sz w:val="24"/>
          <w:szCs w:val="24"/>
        </w:rPr>
        <w:lastRenderedPageBreak/>
        <w:t xml:space="preserve">Възможности за използване на растителни остатъци и заплахите от паленето на стърнищата. </w:t>
      </w:r>
    </w:p>
    <w:p w14:paraId="00A22E8B" w14:textId="77777777" w:rsidR="0083664A" w:rsidRPr="006E3A16" w:rsidRDefault="0083664A" w:rsidP="004F15F5">
      <w:pPr>
        <w:pStyle w:val="ListParagraph"/>
        <w:numPr>
          <w:ilvl w:val="0"/>
          <w:numId w:val="43"/>
        </w:numPr>
        <w:autoSpaceDE w:val="0"/>
        <w:autoSpaceDN w:val="0"/>
        <w:adjustRightInd w:val="0"/>
        <w:spacing w:after="0" w:line="276" w:lineRule="auto"/>
        <w:jc w:val="both"/>
        <w:rPr>
          <w:rFonts w:ascii="Times New Roman" w:hAnsi="Times New Roman" w:cs="Times New Roman"/>
          <w:color w:val="000000"/>
          <w:sz w:val="24"/>
          <w:szCs w:val="24"/>
        </w:rPr>
      </w:pPr>
      <w:r w:rsidRPr="006E3A16">
        <w:rPr>
          <w:rFonts w:ascii="Times New Roman" w:hAnsi="Times New Roman" w:cs="Times New Roman"/>
          <w:color w:val="000000"/>
          <w:sz w:val="24"/>
          <w:szCs w:val="24"/>
        </w:rPr>
        <w:t xml:space="preserve">Консултациите по мерки с пряк ефект върху намалението на емисии на парникови газове обхващат следните области: </w:t>
      </w:r>
    </w:p>
    <w:p w14:paraId="68E0411E" w14:textId="77777777" w:rsidR="0083664A" w:rsidRPr="006E3A16" w:rsidRDefault="0083664A" w:rsidP="004F15F5">
      <w:pPr>
        <w:pStyle w:val="ListParagraph"/>
        <w:numPr>
          <w:ilvl w:val="0"/>
          <w:numId w:val="43"/>
        </w:numPr>
        <w:autoSpaceDE w:val="0"/>
        <w:autoSpaceDN w:val="0"/>
        <w:adjustRightInd w:val="0"/>
        <w:spacing w:after="0" w:line="276" w:lineRule="auto"/>
        <w:jc w:val="both"/>
        <w:rPr>
          <w:rFonts w:ascii="Times New Roman" w:hAnsi="Times New Roman" w:cs="Times New Roman"/>
          <w:color w:val="000000"/>
          <w:sz w:val="24"/>
          <w:szCs w:val="24"/>
        </w:rPr>
      </w:pPr>
      <w:r w:rsidRPr="006E3A16">
        <w:rPr>
          <w:rFonts w:ascii="Times New Roman" w:hAnsi="Times New Roman" w:cs="Times New Roman"/>
          <w:color w:val="000000"/>
          <w:sz w:val="24"/>
          <w:szCs w:val="24"/>
        </w:rPr>
        <w:t xml:space="preserve">Подобряване на съхранението и прилагането на оборски тор; </w:t>
      </w:r>
    </w:p>
    <w:p w14:paraId="7E2F05B2" w14:textId="77777777" w:rsidR="0083664A" w:rsidRPr="006E3A16" w:rsidRDefault="0083664A" w:rsidP="004F15F5">
      <w:pPr>
        <w:pStyle w:val="ListParagraph"/>
        <w:numPr>
          <w:ilvl w:val="0"/>
          <w:numId w:val="43"/>
        </w:numPr>
        <w:autoSpaceDE w:val="0"/>
        <w:autoSpaceDN w:val="0"/>
        <w:adjustRightInd w:val="0"/>
        <w:spacing w:after="0" w:line="276" w:lineRule="auto"/>
        <w:jc w:val="both"/>
        <w:rPr>
          <w:rFonts w:ascii="Times New Roman" w:hAnsi="Times New Roman" w:cs="Times New Roman"/>
          <w:color w:val="000000"/>
          <w:sz w:val="24"/>
          <w:szCs w:val="24"/>
        </w:rPr>
      </w:pPr>
      <w:r w:rsidRPr="006E3A16">
        <w:rPr>
          <w:rFonts w:ascii="Times New Roman" w:hAnsi="Times New Roman" w:cs="Times New Roman"/>
          <w:color w:val="000000"/>
          <w:sz w:val="24"/>
          <w:szCs w:val="24"/>
        </w:rPr>
        <w:t xml:space="preserve">Нисковъглеродни практики за преработка на оборски тор (компостиране, преработка в биогаз в анаеробни условия и т.н.) </w:t>
      </w:r>
    </w:p>
    <w:p w14:paraId="6CFA753F"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През 2022 г. по тези мерки са предоставени общо 5 788 консултации на 3 871 лица. </w:t>
      </w:r>
    </w:p>
    <w:p w14:paraId="5F70EE31"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НССЗ предоставя и специализирани консултации за: </w:t>
      </w:r>
    </w:p>
    <w:p w14:paraId="0A6EB4D5"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Правила за добра земеделска практика, в т.ч. условия за прилагане на азотсъдържащи торове, условия и изисквания за събиране и съхранение на оборски тор и отпадъчни води от животни и др. свързани с ПГ; </w:t>
      </w:r>
    </w:p>
    <w:p w14:paraId="541BF97D"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Националните стандарти за поддържане на земята в добро земеделско и екологично състояние; </w:t>
      </w:r>
    </w:p>
    <w:p w14:paraId="503F0D65"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Законоустановени изисквания за управление – вкл. изисквания за съхранение на органични и минерални торове, продукти за растителна защита, опазване на водите от замърсяване и др. </w:t>
      </w:r>
    </w:p>
    <w:p w14:paraId="1DF1C57E"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началото на 2023 г. стартира прилагането на Стратегическия план за развитие на земеделието и селските райони на Р България 2023-2027 г. В тази връзка НССЗ стартира активно дейности по консултиране, информиране и обучение на земеделските стопани по следните теми: </w:t>
      </w:r>
    </w:p>
    <w:p w14:paraId="5F323888"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Стимулиране диверсификацията на култури, междинни/покривни култури и зелено торене; </w:t>
      </w:r>
    </w:p>
    <w:p w14:paraId="24AF975E"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Насърчаване на практиките за биологично и интегрирано земеделие; </w:t>
      </w:r>
    </w:p>
    <w:p w14:paraId="7F4EC271"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Стимулиране прилагането на консервационни земеделски практики чрез намалени почвообработки – минимални или нулеви и директна сеитба, заравяне на растителни остатъци; </w:t>
      </w:r>
    </w:p>
    <w:p w14:paraId="0B866C54"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Стимулиране селекцията на култури приспособени към климатичните промени и насърчаване използването на култури и сортове, устойчиви към климатичните условия; </w:t>
      </w:r>
    </w:p>
    <w:p w14:paraId="3EF68EFC"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Стимулиране подобряването и поддържане на структурата и качеството на почвата и увеличаване на запасите от ПОВ чрез практики; </w:t>
      </w:r>
    </w:p>
    <w:p w14:paraId="13D8236E"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Насърчаване намаляването на употребата на продуктите за растителна защита и торове; </w:t>
      </w:r>
    </w:p>
    <w:p w14:paraId="65D3EA2E"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Стимулиране на инвестициите в екологична инфраструктура, насочена към опазване на компонентите на околната среда; </w:t>
      </w:r>
    </w:p>
    <w:p w14:paraId="0DCBE1E5" w14:textId="77777777" w:rsidR="006A1393" w:rsidRPr="00321A4C" w:rsidRDefault="0083664A" w:rsidP="00321A4C">
      <w:pPr>
        <w:spacing w:after="0" w:line="276" w:lineRule="auto"/>
        <w:ind w:firstLine="709"/>
        <w:jc w:val="both"/>
        <w:rPr>
          <w:rFonts w:ascii="Times New Roman" w:hAnsi="Times New Roman" w:cs="Times New Roman"/>
          <w:color w:val="FF0000"/>
          <w:sz w:val="24"/>
          <w:szCs w:val="24"/>
        </w:rPr>
      </w:pPr>
      <w:r w:rsidRPr="00321A4C">
        <w:rPr>
          <w:rFonts w:ascii="Times New Roman" w:hAnsi="Times New Roman" w:cs="Times New Roman"/>
          <w:color w:val="000000"/>
          <w:sz w:val="24"/>
          <w:szCs w:val="24"/>
        </w:rPr>
        <w:t>- Прилагане на агролесовъдни практики;</w:t>
      </w:r>
    </w:p>
    <w:p w14:paraId="61A5D958"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Подобряване познанията на земеделските стопани относно начините на прилагане и ползите от прилагане на всички мерки и практики и въздействието им върху изменението на климата. </w:t>
      </w:r>
    </w:p>
    <w:p w14:paraId="328FE5ED"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lastRenderedPageBreak/>
        <w:t xml:space="preserve">НССЗ предоставя съвети и индивидуални консултации за: </w:t>
      </w:r>
    </w:p>
    <w:p w14:paraId="55749096"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Намаляване на употребата на пестициди; </w:t>
      </w:r>
    </w:p>
    <w:p w14:paraId="73DB9C03"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Използване на устойчиви на климатичните промени сортове и породи; </w:t>
      </w:r>
    </w:p>
    <w:p w14:paraId="4AFD10E8"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Натура 2000; </w:t>
      </w:r>
    </w:p>
    <w:p w14:paraId="697E6AD2"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Подвижно пчеларство. </w:t>
      </w:r>
    </w:p>
    <w:p w14:paraId="31D4F2A0" w14:textId="77777777" w:rsidR="00A15706" w:rsidRDefault="00A15706" w:rsidP="00321A4C">
      <w:pPr>
        <w:autoSpaceDE w:val="0"/>
        <w:autoSpaceDN w:val="0"/>
        <w:adjustRightInd w:val="0"/>
        <w:spacing w:after="0" w:line="276" w:lineRule="auto"/>
        <w:ind w:firstLine="709"/>
        <w:jc w:val="both"/>
        <w:rPr>
          <w:rFonts w:ascii="Times New Roman" w:hAnsi="Times New Roman" w:cs="Times New Roman"/>
          <w:b/>
          <w:bCs/>
          <w:color w:val="000000"/>
          <w:sz w:val="24"/>
          <w:szCs w:val="24"/>
        </w:rPr>
      </w:pPr>
    </w:p>
    <w:p w14:paraId="516CB306"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b/>
          <w:bCs/>
          <w:color w:val="000000"/>
          <w:sz w:val="24"/>
          <w:szCs w:val="24"/>
        </w:rPr>
        <w:t xml:space="preserve">Сектор управление на отпадъците </w:t>
      </w:r>
    </w:p>
    <w:p w14:paraId="521CD148"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Предотвратяването на отпадъци е най-ефикасният начин за подобряване на ресурсната ефективност и за намаляване на въздействието на отпадъците върху околната среда. </w:t>
      </w:r>
    </w:p>
    <w:p w14:paraId="3695AAC6" w14:textId="77777777" w:rsidR="0083664A"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Насърчаването на устойчивостта при производството и потреблението може да допринесе съществено за предотвратяването на образуването на отпадъци (ПОО). </w:t>
      </w:r>
    </w:p>
    <w:p w14:paraId="26C52BD3" w14:textId="77777777" w:rsidR="00A15706" w:rsidRPr="00321A4C" w:rsidRDefault="00A15706"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752EF279"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Нови политики и мерки в сектор „Отпадъци“ </w:t>
      </w:r>
    </w:p>
    <w:p w14:paraId="25190E56"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b/>
          <w:bCs/>
          <w:color w:val="000000"/>
          <w:sz w:val="24"/>
          <w:szCs w:val="24"/>
        </w:rPr>
        <w:t xml:space="preserve">Мярка 1: </w:t>
      </w:r>
      <w:r w:rsidRPr="00321A4C">
        <w:rPr>
          <w:rFonts w:ascii="Times New Roman" w:hAnsi="Times New Roman" w:cs="Times New Roman"/>
          <w:color w:val="000000"/>
          <w:sz w:val="24"/>
          <w:szCs w:val="24"/>
        </w:rPr>
        <w:t xml:space="preserve">Доизграждане/надграждане на регионални системи за управление на битовите отпадъци </w:t>
      </w:r>
    </w:p>
    <w:p w14:paraId="4D47AED1"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b/>
          <w:bCs/>
          <w:color w:val="000000"/>
          <w:sz w:val="24"/>
          <w:szCs w:val="24"/>
        </w:rPr>
        <w:t xml:space="preserve">Мярка 2: </w:t>
      </w:r>
      <w:r w:rsidRPr="00321A4C">
        <w:rPr>
          <w:rFonts w:ascii="Times New Roman" w:hAnsi="Times New Roman" w:cs="Times New Roman"/>
          <w:color w:val="000000"/>
          <w:sz w:val="24"/>
          <w:szCs w:val="24"/>
        </w:rPr>
        <w:t xml:space="preserve">Изграждане на общински площадки за безвъзмездно предаване на разделно събрани отпадъци от домакинствата, в т.ч. едрогабаритни отпадъци, и други разделно събрани отпадъци във всички населени места с население по-голямо от 10 000 жители </w:t>
      </w:r>
    </w:p>
    <w:p w14:paraId="520A5CE5"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b/>
          <w:bCs/>
          <w:color w:val="000000"/>
          <w:sz w:val="24"/>
          <w:szCs w:val="24"/>
        </w:rPr>
        <w:t xml:space="preserve">Мярка 3: </w:t>
      </w:r>
      <w:r w:rsidRPr="00321A4C">
        <w:rPr>
          <w:rFonts w:ascii="Times New Roman" w:hAnsi="Times New Roman" w:cs="Times New Roman"/>
          <w:color w:val="000000"/>
          <w:sz w:val="24"/>
          <w:szCs w:val="24"/>
        </w:rPr>
        <w:t xml:space="preserve">Безвъзмездно предоставяне на домакинствата на компостери за зелени и други биоотпадъци </w:t>
      </w:r>
    </w:p>
    <w:p w14:paraId="729A9647"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b/>
          <w:bCs/>
          <w:color w:val="000000"/>
          <w:sz w:val="24"/>
          <w:szCs w:val="24"/>
        </w:rPr>
        <w:t xml:space="preserve">Мярка 4: </w:t>
      </w:r>
      <w:r w:rsidRPr="00321A4C">
        <w:rPr>
          <w:rFonts w:ascii="Times New Roman" w:hAnsi="Times New Roman" w:cs="Times New Roman"/>
          <w:color w:val="000000"/>
          <w:sz w:val="24"/>
          <w:szCs w:val="24"/>
        </w:rPr>
        <w:t xml:space="preserve">Намаляване на отпадъците от хартия и други офис консумативи, чрез изпълнение на националните и секторни програмни документи за „електронно управление" </w:t>
      </w:r>
    </w:p>
    <w:p w14:paraId="2F8420DF"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b/>
          <w:bCs/>
          <w:color w:val="000000"/>
          <w:sz w:val="24"/>
          <w:szCs w:val="24"/>
        </w:rPr>
        <w:t xml:space="preserve">Мярка 5: </w:t>
      </w:r>
      <w:r w:rsidRPr="00321A4C">
        <w:rPr>
          <w:rFonts w:ascii="Times New Roman" w:hAnsi="Times New Roman" w:cs="Times New Roman"/>
          <w:color w:val="000000"/>
          <w:sz w:val="24"/>
          <w:szCs w:val="24"/>
        </w:rPr>
        <w:t xml:space="preserve">Прилагане на мерките за ПО при издаване/актуализация на </w:t>
      </w:r>
      <w:r w:rsidRPr="00786046">
        <w:rPr>
          <w:rFonts w:ascii="Times New Roman" w:hAnsi="Times New Roman" w:cs="Times New Roman"/>
          <w:color w:val="000000"/>
          <w:sz w:val="24"/>
          <w:szCs w:val="24"/>
          <w:highlight w:val="yellow"/>
        </w:rPr>
        <w:t>комплексни разрешителни за отпадъци от страна на РИОСВ</w:t>
      </w:r>
      <w:r w:rsidRPr="00321A4C">
        <w:rPr>
          <w:rFonts w:ascii="Times New Roman" w:hAnsi="Times New Roman" w:cs="Times New Roman"/>
          <w:color w:val="000000"/>
          <w:sz w:val="24"/>
          <w:szCs w:val="24"/>
        </w:rPr>
        <w:t xml:space="preserve"> </w:t>
      </w:r>
    </w:p>
    <w:p w14:paraId="7AEDE73F"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b/>
          <w:bCs/>
          <w:color w:val="000000"/>
          <w:sz w:val="24"/>
          <w:szCs w:val="24"/>
        </w:rPr>
        <w:t xml:space="preserve">Мярка 6: </w:t>
      </w:r>
      <w:r w:rsidRPr="00321A4C">
        <w:rPr>
          <w:rFonts w:ascii="Times New Roman" w:hAnsi="Times New Roman" w:cs="Times New Roman"/>
          <w:color w:val="000000"/>
          <w:sz w:val="24"/>
          <w:szCs w:val="24"/>
        </w:rPr>
        <w:t xml:space="preserve">Изграждане на инсталации за рециклиране на отпадъци </w:t>
      </w:r>
    </w:p>
    <w:p w14:paraId="13CD4CBB"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b/>
          <w:bCs/>
          <w:color w:val="000000"/>
          <w:sz w:val="24"/>
          <w:szCs w:val="24"/>
        </w:rPr>
        <w:t xml:space="preserve">Мярка 7: </w:t>
      </w:r>
      <w:r w:rsidRPr="00321A4C">
        <w:rPr>
          <w:rFonts w:ascii="Times New Roman" w:hAnsi="Times New Roman" w:cs="Times New Roman"/>
          <w:color w:val="000000"/>
          <w:sz w:val="24"/>
          <w:szCs w:val="24"/>
        </w:rPr>
        <w:t xml:space="preserve">Разделно събиране и рециклиране на строителни отпадъци, вкл. в индустриални зони при доказана необходимост </w:t>
      </w:r>
    </w:p>
    <w:p w14:paraId="46056AB0" w14:textId="77777777" w:rsidR="00A15706" w:rsidRDefault="00A15706"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58DACA16"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w:t>
      </w:r>
      <w:r w:rsidRPr="00321A4C">
        <w:rPr>
          <w:rFonts w:ascii="Times New Roman" w:hAnsi="Times New Roman" w:cs="Times New Roman"/>
          <w:b/>
          <w:bCs/>
          <w:color w:val="000000"/>
          <w:sz w:val="24"/>
          <w:szCs w:val="24"/>
        </w:rPr>
        <w:t>Национален план за управление на отпадъците 2021-2028 г.</w:t>
      </w:r>
    </w:p>
    <w:p w14:paraId="5C879A43"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Има ключова роля за ефективното и ефикасно управление на отпадъците в страната. Основните цели на Плана включват намаляване на вредното въздействие на отпадъците чрез превенция и насърчаване на повторната употреба, увеличаване на количеството на рециклирани и оползотворени отпадъци и намаляване на количествата и риска от депонирани битови и други отпадъци. </w:t>
      </w:r>
    </w:p>
    <w:p w14:paraId="5935E83C"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Разработени са пет програми за постигане на целите като част от Плана, а именно: </w:t>
      </w:r>
    </w:p>
    <w:p w14:paraId="041B3538"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Програма за предотвратяване на отпадъците с подпрограма за предотвратяване на отпадъците от храни; </w:t>
      </w:r>
    </w:p>
    <w:p w14:paraId="22D55CA5"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lastRenderedPageBreak/>
        <w:t xml:space="preserve">- Програма за постигане на целите за подготовка за повторна употреба и за рециклиране на битовите отпадъци; </w:t>
      </w:r>
    </w:p>
    <w:p w14:paraId="6E4FDB5D"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Програма за постигане на целите за рециклиране и оползотворяване на отпадъци от строителство и разрушаване на сгради; </w:t>
      </w:r>
    </w:p>
    <w:p w14:paraId="089F6C2F"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Програма за постигане на целите за рециклиране и оползотворяване на масовите отпадъци с подпрограма за управление на отпадъците от опаковки; </w:t>
      </w:r>
    </w:p>
    <w:p w14:paraId="6706020A"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Програма за намаляване на количествата и риска от депонирани битови и други отпадъци. </w:t>
      </w:r>
    </w:p>
    <w:p w14:paraId="6C8937F6"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6734BBA5"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w:t>
      </w:r>
      <w:r w:rsidRPr="00321A4C">
        <w:rPr>
          <w:rFonts w:ascii="Times New Roman" w:hAnsi="Times New Roman" w:cs="Times New Roman"/>
          <w:b/>
          <w:bCs/>
          <w:color w:val="000000"/>
          <w:sz w:val="24"/>
          <w:szCs w:val="24"/>
        </w:rPr>
        <w:t xml:space="preserve">Стратегия и план за действие за преход към кръгова икономика за периода 2022-2027 г. </w:t>
      </w:r>
    </w:p>
    <w:p w14:paraId="6D0F9CB4"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Регулаторни, екологични, икономически мерки; реализация: 2022 - 2027 г. </w:t>
      </w:r>
    </w:p>
    <w:p w14:paraId="0AFB9796"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Насочени са към постигане на ресурсна ефективност чрез прилагане на йерархията в управлението на отпадъците, предотвратяване на генерирането на отпадъци, насърчаване на повторната употреба и оползотворяване чрез рециклиране, намаляване на депата и ограничаване тяхното вредно въздействие върху околната среда и човешкото здраве. Стратегията формулира три стратегически цели: </w:t>
      </w:r>
    </w:p>
    <w:p w14:paraId="70F30212"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зелена и конкурентна икономика; </w:t>
      </w:r>
    </w:p>
    <w:p w14:paraId="35A36FAA"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по-малко отпадъци и повече ресурси; </w:t>
      </w:r>
    </w:p>
    <w:p w14:paraId="59FFA1CD"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икономика, която облагодетелства потребителите. </w:t>
      </w:r>
    </w:p>
    <w:p w14:paraId="3EEF1588"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институции: Общини, юридически лица със стопанска цел, УО на ПОС </w:t>
      </w:r>
    </w:p>
    <w:p w14:paraId="7519D6FF" w14:textId="77777777" w:rsidR="00167AF2" w:rsidRDefault="00167AF2" w:rsidP="00321A4C">
      <w:pPr>
        <w:autoSpaceDE w:val="0"/>
        <w:autoSpaceDN w:val="0"/>
        <w:adjustRightInd w:val="0"/>
        <w:spacing w:after="0" w:line="276" w:lineRule="auto"/>
        <w:ind w:firstLine="709"/>
        <w:jc w:val="both"/>
        <w:rPr>
          <w:rFonts w:ascii="Times New Roman" w:hAnsi="Times New Roman" w:cs="Times New Roman"/>
          <w:b/>
          <w:bCs/>
          <w:color w:val="000000"/>
          <w:sz w:val="24"/>
          <w:szCs w:val="24"/>
        </w:rPr>
      </w:pPr>
    </w:p>
    <w:p w14:paraId="7B59F79C"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b/>
          <w:bCs/>
          <w:color w:val="000000"/>
          <w:sz w:val="24"/>
          <w:szCs w:val="24"/>
        </w:rPr>
        <w:t xml:space="preserve">Сектор Енергетика </w:t>
      </w:r>
    </w:p>
    <w:p w14:paraId="457D08FE" w14:textId="77777777" w:rsidR="006A1393" w:rsidRPr="00321A4C" w:rsidRDefault="0083664A" w:rsidP="00321A4C">
      <w:pPr>
        <w:spacing w:after="0" w:line="276" w:lineRule="auto"/>
        <w:ind w:firstLine="709"/>
        <w:jc w:val="both"/>
        <w:rPr>
          <w:rFonts w:ascii="Times New Roman" w:hAnsi="Times New Roman" w:cs="Times New Roman"/>
          <w:color w:val="FF0000"/>
          <w:sz w:val="24"/>
          <w:szCs w:val="24"/>
        </w:rPr>
      </w:pPr>
      <w:r w:rsidRPr="00321A4C">
        <w:rPr>
          <w:rFonts w:ascii="Times New Roman" w:hAnsi="Times New Roman" w:cs="Times New Roman"/>
          <w:color w:val="000000"/>
          <w:sz w:val="24"/>
          <w:szCs w:val="24"/>
        </w:rPr>
        <w:t>За енергийния сектор по-голямата част от мерките, които оказват влияние върху декарбонизацията, са включени в разделите за ВИ, ЕЕ, вътрешния пазар и енергийната сигурност по-долу, тъй като общите промени в тези измерения водят до намаляване на емисиите на ПГ. В допълнение към мерките, изброени в тези раздели по-долу, има няколко други мерки, които имат косвено положително въздействие върху намаляването на ПГ. Всички изброени мерки от Третия национален план за действие за изменение на климата (2013-2020 г.) са удължени до 2030 г., както следва:</w:t>
      </w:r>
    </w:p>
    <w:p w14:paraId="68CED2B6"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Реконструкция на когенерационни инсталации и котли за централно отопление с турбини на природен газ; </w:t>
      </w:r>
    </w:p>
    <w:p w14:paraId="6176732C"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Намаляване на загубите от разпределителните и преносните мрежи; </w:t>
      </w:r>
    </w:p>
    <w:p w14:paraId="182D3DC5"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Намаляване на загубите в топлопреносните мрежи; </w:t>
      </w:r>
    </w:p>
    <w:p w14:paraId="1AA77FCB"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Заместване на горивата - от въглища на природен газ; </w:t>
      </w:r>
    </w:p>
    <w:p w14:paraId="26DE3E54"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Увеличаване на високоефективното комбинирано производство; </w:t>
      </w:r>
    </w:p>
    <w:p w14:paraId="3709DD1B"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Увеличаване на дела на отоплението и охлаждането въз основа на възобновяеми енергийни източници; </w:t>
      </w:r>
    </w:p>
    <w:p w14:paraId="10741E51"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Подобряване на ефективността на производството в съществуващите въглищни електроцентрали. </w:t>
      </w:r>
    </w:p>
    <w:p w14:paraId="51BBC42B"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i/>
          <w:iCs/>
          <w:color w:val="000000"/>
          <w:sz w:val="24"/>
          <w:szCs w:val="24"/>
        </w:rPr>
        <w:lastRenderedPageBreak/>
        <w:t xml:space="preserve">Обобщени политики и мерки за битовия и обществен сектор </w:t>
      </w:r>
    </w:p>
    <w:p w14:paraId="2B618F0C" w14:textId="77777777" w:rsidR="0083664A" w:rsidRPr="00F20F4C" w:rsidRDefault="0083664A" w:rsidP="004F15F5">
      <w:pPr>
        <w:pStyle w:val="ListParagraph"/>
        <w:numPr>
          <w:ilvl w:val="0"/>
          <w:numId w:val="44"/>
        </w:numPr>
        <w:autoSpaceDE w:val="0"/>
        <w:autoSpaceDN w:val="0"/>
        <w:adjustRightInd w:val="0"/>
        <w:spacing w:after="0" w:line="276" w:lineRule="auto"/>
        <w:jc w:val="both"/>
        <w:rPr>
          <w:rFonts w:ascii="Times New Roman" w:hAnsi="Times New Roman" w:cs="Times New Roman"/>
          <w:color w:val="000000"/>
          <w:sz w:val="24"/>
          <w:szCs w:val="24"/>
        </w:rPr>
      </w:pPr>
      <w:r w:rsidRPr="00F20F4C">
        <w:rPr>
          <w:rFonts w:ascii="Times New Roman" w:hAnsi="Times New Roman" w:cs="Times New Roman"/>
          <w:color w:val="000000"/>
          <w:sz w:val="24"/>
          <w:szCs w:val="24"/>
        </w:rPr>
        <w:t xml:space="preserve">Газоснабдяване на домакинствата; </w:t>
      </w:r>
    </w:p>
    <w:p w14:paraId="58B988A3" w14:textId="77777777" w:rsidR="0083664A" w:rsidRPr="00F20F4C" w:rsidRDefault="0083664A" w:rsidP="004F15F5">
      <w:pPr>
        <w:pStyle w:val="ListParagraph"/>
        <w:numPr>
          <w:ilvl w:val="0"/>
          <w:numId w:val="44"/>
        </w:numPr>
        <w:autoSpaceDE w:val="0"/>
        <w:autoSpaceDN w:val="0"/>
        <w:adjustRightInd w:val="0"/>
        <w:spacing w:after="0" w:line="276" w:lineRule="auto"/>
        <w:jc w:val="both"/>
        <w:rPr>
          <w:rFonts w:ascii="Times New Roman" w:hAnsi="Times New Roman" w:cs="Times New Roman"/>
          <w:color w:val="000000"/>
          <w:sz w:val="24"/>
          <w:szCs w:val="24"/>
        </w:rPr>
      </w:pPr>
      <w:r w:rsidRPr="00F20F4C">
        <w:rPr>
          <w:rFonts w:ascii="Times New Roman" w:hAnsi="Times New Roman" w:cs="Times New Roman"/>
          <w:color w:val="000000"/>
          <w:sz w:val="24"/>
          <w:szCs w:val="24"/>
        </w:rPr>
        <w:t xml:space="preserve">Монтаж на слънчеви колектори; </w:t>
      </w:r>
    </w:p>
    <w:p w14:paraId="60BBC7C7" w14:textId="77777777" w:rsidR="0083664A" w:rsidRPr="00F20F4C" w:rsidRDefault="0083664A" w:rsidP="004F15F5">
      <w:pPr>
        <w:pStyle w:val="ListParagraph"/>
        <w:numPr>
          <w:ilvl w:val="0"/>
          <w:numId w:val="44"/>
        </w:numPr>
        <w:autoSpaceDE w:val="0"/>
        <w:autoSpaceDN w:val="0"/>
        <w:adjustRightInd w:val="0"/>
        <w:spacing w:after="0" w:line="276" w:lineRule="auto"/>
        <w:jc w:val="both"/>
        <w:rPr>
          <w:rFonts w:ascii="Times New Roman" w:hAnsi="Times New Roman" w:cs="Times New Roman"/>
          <w:color w:val="000000"/>
          <w:sz w:val="24"/>
          <w:szCs w:val="24"/>
        </w:rPr>
      </w:pPr>
      <w:r w:rsidRPr="00F20F4C">
        <w:rPr>
          <w:rFonts w:ascii="Times New Roman" w:hAnsi="Times New Roman" w:cs="Times New Roman"/>
          <w:color w:val="000000"/>
          <w:sz w:val="24"/>
          <w:szCs w:val="24"/>
        </w:rPr>
        <w:t xml:space="preserve">Изпълнение на мерките в Националната програма за ускорена газификация (НПУГ) в България; </w:t>
      </w:r>
    </w:p>
    <w:p w14:paraId="1EEC1315" w14:textId="77777777" w:rsidR="0083664A" w:rsidRPr="00F20F4C" w:rsidRDefault="0083664A" w:rsidP="004F15F5">
      <w:pPr>
        <w:pStyle w:val="ListParagraph"/>
        <w:numPr>
          <w:ilvl w:val="0"/>
          <w:numId w:val="44"/>
        </w:numPr>
        <w:autoSpaceDE w:val="0"/>
        <w:autoSpaceDN w:val="0"/>
        <w:adjustRightInd w:val="0"/>
        <w:spacing w:after="0" w:line="276" w:lineRule="auto"/>
        <w:jc w:val="both"/>
        <w:rPr>
          <w:rFonts w:ascii="Times New Roman" w:hAnsi="Times New Roman" w:cs="Times New Roman"/>
          <w:color w:val="000000"/>
          <w:sz w:val="24"/>
          <w:szCs w:val="24"/>
        </w:rPr>
      </w:pPr>
      <w:r w:rsidRPr="00F20F4C">
        <w:rPr>
          <w:rFonts w:ascii="Times New Roman" w:hAnsi="Times New Roman" w:cs="Times New Roman"/>
          <w:color w:val="000000"/>
          <w:sz w:val="24"/>
          <w:szCs w:val="24"/>
        </w:rPr>
        <w:t xml:space="preserve">Обновяване (саниране) до определения годишен процент на обществените и държавни сгради (с обща площ над 250 квадратни метра) след влизането в сила на директивата за енергийна ефективност; </w:t>
      </w:r>
    </w:p>
    <w:p w14:paraId="61A4D4C8" w14:textId="77777777" w:rsidR="0083664A" w:rsidRPr="00F20F4C" w:rsidRDefault="0083664A" w:rsidP="004F15F5">
      <w:pPr>
        <w:pStyle w:val="ListParagraph"/>
        <w:numPr>
          <w:ilvl w:val="0"/>
          <w:numId w:val="44"/>
        </w:numPr>
        <w:autoSpaceDE w:val="0"/>
        <w:autoSpaceDN w:val="0"/>
        <w:adjustRightInd w:val="0"/>
        <w:spacing w:after="0" w:line="276" w:lineRule="auto"/>
        <w:jc w:val="both"/>
        <w:rPr>
          <w:rFonts w:ascii="Times New Roman" w:hAnsi="Times New Roman" w:cs="Times New Roman"/>
          <w:color w:val="000000"/>
          <w:sz w:val="24"/>
          <w:szCs w:val="24"/>
        </w:rPr>
      </w:pPr>
      <w:r w:rsidRPr="00F20F4C">
        <w:rPr>
          <w:rFonts w:ascii="Times New Roman" w:hAnsi="Times New Roman" w:cs="Times New Roman"/>
          <w:color w:val="000000"/>
          <w:sz w:val="24"/>
          <w:szCs w:val="24"/>
        </w:rPr>
        <w:t xml:space="preserve">Въвеждане на задължителна схема за енергийна ефективност (намаляване на потреблението на гориво и енергия в консумацията на крайно потребление на енергия); </w:t>
      </w:r>
    </w:p>
    <w:p w14:paraId="0B83F9CA" w14:textId="77777777" w:rsidR="0083664A" w:rsidRPr="00F20F4C" w:rsidRDefault="0083664A" w:rsidP="004F15F5">
      <w:pPr>
        <w:pStyle w:val="ListParagraph"/>
        <w:numPr>
          <w:ilvl w:val="0"/>
          <w:numId w:val="44"/>
        </w:numPr>
        <w:autoSpaceDE w:val="0"/>
        <w:autoSpaceDN w:val="0"/>
        <w:adjustRightInd w:val="0"/>
        <w:spacing w:after="0" w:line="276" w:lineRule="auto"/>
        <w:jc w:val="both"/>
        <w:rPr>
          <w:rFonts w:ascii="Times New Roman" w:hAnsi="Times New Roman" w:cs="Times New Roman"/>
          <w:color w:val="000000"/>
          <w:sz w:val="24"/>
          <w:szCs w:val="24"/>
        </w:rPr>
      </w:pPr>
      <w:r w:rsidRPr="00F20F4C">
        <w:rPr>
          <w:rFonts w:ascii="Times New Roman" w:hAnsi="Times New Roman" w:cs="Times New Roman"/>
          <w:color w:val="000000"/>
          <w:sz w:val="24"/>
          <w:szCs w:val="24"/>
        </w:rPr>
        <w:t xml:space="preserve">Ускоряване на датата, на която да влезе в сила Регламентът за екодизайна 2015/1185; и въвеждане на задължително, ускорено прекратяване на традиционните замърсяващи отоплителни уреди (печки) в съответствие с Националната програма за контрол на замърсяването на въздуха 2020-2030 г.; </w:t>
      </w:r>
    </w:p>
    <w:p w14:paraId="61127AE5" w14:textId="77777777" w:rsidR="0083664A" w:rsidRPr="00F20F4C" w:rsidRDefault="0083664A" w:rsidP="004F15F5">
      <w:pPr>
        <w:pStyle w:val="ListParagraph"/>
        <w:numPr>
          <w:ilvl w:val="0"/>
          <w:numId w:val="44"/>
        </w:numPr>
        <w:autoSpaceDE w:val="0"/>
        <w:autoSpaceDN w:val="0"/>
        <w:adjustRightInd w:val="0"/>
        <w:spacing w:after="0" w:line="276" w:lineRule="auto"/>
        <w:jc w:val="both"/>
        <w:rPr>
          <w:rFonts w:ascii="Times New Roman" w:hAnsi="Times New Roman" w:cs="Times New Roman"/>
          <w:color w:val="000000"/>
          <w:sz w:val="24"/>
          <w:szCs w:val="24"/>
        </w:rPr>
      </w:pPr>
      <w:r w:rsidRPr="00F20F4C">
        <w:rPr>
          <w:rFonts w:ascii="Times New Roman" w:hAnsi="Times New Roman" w:cs="Times New Roman"/>
          <w:color w:val="000000"/>
          <w:sz w:val="24"/>
          <w:szCs w:val="24"/>
        </w:rPr>
        <w:t>Въвеждане на стандарт за качество на горивата за въглища (в национален мащаб), сурогатни мерки за намаляване на съдържанието на влага в дърва за огрев, използвани в общини, които не отговарят на критериите за качество на въздуха PM</w:t>
      </w:r>
      <w:r w:rsidRPr="00A20EAA">
        <w:rPr>
          <w:rFonts w:ascii="Times New Roman" w:hAnsi="Times New Roman" w:cs="Times New Roman"/>
          <w:color w:val="000000"/>
          <w:sz w:val="24"/>
          <w:szCs w:val="24"/>
          <w:vertAlign w:val="subscript"/>
        </w:rPr>
        <w:t>10</w:t>
      </w:r>
      <w:r w:rsidRPr="00F20F4C">
        <w:rPr>
          <w:rFonts w:ascii="Times New Roman" w:hAnsi="Times New Roman" w:cs="Times New Roman"/>
          <w:color w:val="000000"/>
          <w:sz w:val="24"/>
          <w:szCs w:val="24"/>
        </w:rPr>
        <w:t xml:space="preserve"> и, евентуално, на максимален стандарт на съдържание на влага за дърва за огрев, в съответствие с Националния контрол на замърсяването на въздуха Програма 2020-2030 г.; </w:t>
      </w:r>
    </w:p>
    <w:p w14:paraId="1D018C18" w14:textId="77777777" w:rsidR="0083664A" w:rsidRPr="00F20F4C" w:rsidRDefault="0083664A" w:rsidP="004F15F5">
      <w:pPr>
        <w:pStyle w:val="Default"/>
        <w:numPr>
          <w:ilvl w:val="0"/>
          <w:numId w:val="44"/>
        </w:numPr>
        <w:spacing w:line="276" w:lineRule="auto"/>
        <w:jc w:val="both"/>
        <w:rPr>
          <w:lang w:val="bg-BG"/>
        </w:rPr>
      </w:pPr>
      <w:r w:rsidRPr="00321A4C">
        <w:t xml:space="preserve">Домакинствата, засегнати от задължителното прекратяване на традиционните печки за преминаване към отопление с природен газ </w:t>
      </w:r>
      <w:r w:rsidRPr="00F20F4C">
        <w:t xml:space="preserve">(повторно свързване и нови връзки), централно отопление (повторно свързване и нови връзки) или отоплителни уреди, отговарящи на екодизайна), в съответствие с Националната програма за контрол на замърсяването на въздуха 2020-2030 г. </w:t>
      </w:r>
    </w:p>
    <w:p w14:paraId="5F683395" w14:textId="77777777" w:rsidR="00F20F4C" w:rsidRDefault="00F20F4C" w:rsidP="00321A4C">
      <w:pPr>
        <w:autoSpaceDE w:val="0"/>
        <w:autoSpaceDN w:val="0"/>
        <w:adjustRightInd w:val="0"/>
        <w:spacing w:after="0" w:line="276" w:lineRule="auto"/>
        <w:ind w:firstLine="709"/>
        <w:jc w:val="both"/>
        <w:rPr>
          <w:rFonts w:ascii="Times New Roman" w:hAnsi="Times New Roman" w:cs="Times New Roman"/>
          <w:i/>
          <w:iCs/>
          <w:color w:val="000000"/>
          <w:sz w:val="24"/>
          <w:szCs w:val="24"/>
        </w:rPr>
      </w:pPr>
    </w:p>
    <w:p w14:paraId="3B8FC42E"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i/>
          <w:iCs/>
          <w:color w:val="000000"/>
          <w:sz w:val="24"/>
          <w:szCs w:val="24"/>
        </w:rPr>
        <w:t xml:space="preserve">При използването на различни от конвенционалните горива за първично производство на енергия е необходимо да бъдат приложени и следните мерки: </w:t>
      </w:r>
    </w:p>
    <w:p w14:paraId="1565E584"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Разработване и приемане на национален анализ на потенциала за устойчива биомаса от всички сектори (вкл., но не само на горите и селското стопанство) и критерии за устойчивост, като се вземат предвид критериите за устойчивост на Директивата (ЕС) 2018/2001; </w:t>
      </w:r>
    </w:p>
    <w:p w14:paraId="0122B367"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2B491D9B"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Не е възлаган и изготвян подобен национален анализ за сектор Гори. Сходен анализ е разработен в Националния план за действие за енергия от горска биомаса 2018-2027 г. </w:t>
      </w:r>
    </w:p>
    <w:p w14:paraId="2F019D13" w14:textId="0FE36D63" w:rsidR="0083664A" w:rsidRPr="00F20F4C" w:rsidRDefault="0083664A" w:rsidP="004F15F5">
      <w:pPr>
        <w:pStyle w:val="ListParagraph"/>
        <w:numPr>
          <w:ilvl w:val="0"/>
          <w:numId w:val="45"/>
        </w:numPr>
        <w:autoSpaceDE w:val="0"/>
        <w:autoSpaceDN w:val="0"/>
        <w:adjustRightInd w:val="0"/>
        <w:spacing w:after="0" w:line="276" w:lineRule="auto"/>
        <w:jc w:val="both"/>
        <w:rPr>
          <w:rFonts w:ascii="Times New Roman" w:hAnsi="Times New Roman" w:cs="Times New Roman"/>
          <w:color w:val="000000"/>
          <w:sz w:val="24"/>
          <w:szCs w:val="24"/>
        </w:rPr>
      </w:pPr>
      <w:r w:rsidRPr="00F20F4C">
        <w:rPr>
          <w:rFonts w:ascii="Times New Roman" w:hAnsi="Times New Roman" w:cs="Times New Roman"/>
          <w:color w:val="000000"/>
          <w:sz w:val="24"/>
          <w:szCs w:val="24"/>
        </w:rPr>
        <w:t xml:space="preserve">Синхронизация между стратегически документи във връзка с управлението и използването на горите. Когато се извършват преразглеждане, актуализиране и разработване на стратегически документи, те трябва да бъдат съгласувани </w:t>
      </w:r>
      <w:r w:rsidRPr="00F20F4C">
        <w:rPr>
          <w:rFonts w:ascii="Times New Roman" w:hAnsi="Times New Roman" w:cs="Times New Roman"/>
          <w:color w:val="000000"/>
          <w:sz w:val="24"/>
          <w:szCs w:val="24"/>
        </w:rPr>
        <w:lastRenderedPageBreak/>
        <w:t xml:space="preserve">помежду си и с </w:t>
      </w:r>
      <w:r w:rsidR="005B5EB3">
        <w:rPr>
          <w:rFonts w:ascii="Times New Roman" w:hAnsi="Times New Roman" w:cs="Times New Roman"/>
          <w:color w:val="000000"/>
          <w:sz w:val="24"/>
          <w:szCs w:val="24"/>
        </w:rPr>
        <w:t>ИПЕК</w:t>
      </w:r>
      <w:r w:rsidRPr="00F20F4C">
        <w:rPr>
          <w:rFonts w:ascii="Times New Roman" w:hAnsi="Times New Roman" w:cs="Times New Roman"/>
          <w:color w:val="000000"/>
          <w:sz w:val="24"/>
          <w:szCs w:val="24"/>
        </w:rPr>
        <w:t xml:space="preserve">. Такива стратегически документи, които трябва да бъдат преразгледани, актуализирани, приведени в съответствие с </w:t>
      </w:r>
      <w:r w:rsidR="005B5EB3">
        <w:rPr>
          <w:rFonts w:ascii="Times New Roman" w:hAnsi="Times New Roman" w:cs="Times New Roman"/>
          <w:color w:val="000000"/>
          <w:sz w:val="24"/>
          <w:szCs w:val="24"/>
        </w:rPr>
        <w:t>ИПЕК</w:t>
      </w:r>
      <w:r w:rsidRPr="00F20F4C">
        <w:rPr>
          <w:rFonts w:ascii="Times New Roman" w:hAnsi="Times New Roman" w:cs="Times New Roman"/>
          <w:color w:val="000000"/>
          <w:sz w:val="24"/>
          <w:szCs w:val="24"/>
        </w:rPr>
        <w:t xml:space="preserve">, могат да включват: Доклад за горския сектор, приложение към Плана за действие ма Националната стратегия за адаптация към изменението на климата на Република България, Национална стратегия за развитие на горския сектор, Национален план за действие за енергия от горна биомаса, Национален план за действие за възобновяема енергия; </w:t>
      </w:r>
    </w:p>
    <w:p w14:paraId="6BF3B81B"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7FEACFF7"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Извършена е оценка на изпълнението на Националната стратегия за развитие на горския сектор в Република България 2013-2020 г. (НСРГСРБ 2013-2020 г.). Съгласно чл. 9, ал. (1), т. 1 от Закона за горите е изготвен Стратегически план за развитие на горския сектор 2014-2023 г. (СПРГС 2014-2023 г.), в който са зададени конкретните действия за изпълнение на стратегическите цели, приоритети и мерки, заложени в НСРГСРБ. Предвид изтичане на срока на действие на НСРГСРБ 2013-2020 г., през 2022 г. е изготвен проект на НСРГСРБ до 2030 г., който предстои да бъде одобрен от Министерския съвет. Необходим е мониторинг и актуализация на Националния план за действие за енергия от горска биомаса, 2018-2027 г. </w:t>
      </w:r>
    </w:p>
    <w:p w14:paraId="6E392B64" w14:textId="2E2570B2" w:rsidR="0083664A" w:rsidRPr="00F20F4C" w:rsidRDefault="0083664A" w:rsidP="004F15F5">
      <w:pPr>
        <w:pStyle w:val="ListParagraph"/>
        <w:numPr>
          <w:ilvl w:val="0"/>
          <w:numId w:val="45"/>
        </w:numPr>
        <w:autoSpaceDE w:val="0"/>
        <w:autoSpaceDN w:val="0"/>
        <w:adjustRightInd w:val="0"/>
        <w:spacing w:after="0" w:line="276" w:lineRule="auto"/>
        <w:jc w:val="both"/>
        <w:rPr>
          <w:rFonts w:ascii="Times New Roman" w:hAnsi="Times New Roman" w:cs="Times New Roman"/>
          <w:color w:val="000000"/>
          <w:sz w:val="24"/>
          <w:szCs w:val="24"/>
        </w:rPr>
      </w:pPr>
      <w:r w:rsidRPr="00F20F4C">
        <w:rPr>
          <w:rFonts w:ascii="Times New Roman" w:hAnsi="Times New Roman" w:cs="Times New Roman"/>
          <w:color w:val="000000"/>
          <w:sz w:val="24"/>
          <w:szCs w:val="24"/>
        </w:rPr>
        <w:t xml:space="preserve">Синхронизация между стратегически документи във връзка със селскостопанския сектор. Когато се извършва преразглеждане, актуализиране и разработване на стратегически документи, те трябва да бъдат съгласувани помежду си и с </w:t>
      </w:r>
      <w:r w:rsidR="005B5EB3">
        <w:rPr>
          <w:rFonts w:ascii="Times New Roman" w:hAnsi="Times New Roman" w:cs="Times New Roman"/>
          <w:color w:val="000000"/>
          <w:sz w:val="24"/>
          <w:szCs w:val="24"/>
        </w:rPr>
        <w:t>ИПЕК</w:t>
      </w:r>
      <w:r w:rsidRPr="00F20F4C">
        <w:rPr>
          <w:rFonts w:ascii="Times New Roman" w:hAnsi="Times New Roman" w:cs="Times New Roman"/>
          <w:color w:val="000000"/>
          <w:sz w:val="24"/>
          <w:szCs w:val="24"/>
        </w:rPr>
        <w:t xml:space="preserve">. Стратегическите документи, които ще бъдат преразгледани, актуализирани и приведени в съответствие с </w:t>
      </w:r>
      <w:r w:rsidR="005B5EB3">
        <w:rPr>
          <w:rFonts w:ascii="Times New Roman" w:hAnsi="Times New Roman" w:cs="Times New Roman"/>
          <w:color w:val="000000"/>
          <w:sz w:val="24"/>
          <w:szCs w:val="24"/>
        </w:rPr>
        <w:t>ИПЕК</w:t>
      </w:r>
      <w:r w:rsidRPr="00F20F4C">
        <w:rPr>
          <w:rFonts w:ascii="Times New Roman" w:hAnsi="Times New Roman" w:cs="Times New Roman"/>
          <w:color w:val="000000"/>
          <w:sz w:val="24"/>
          <w:szCs w:val="24"/>
        </w:rPr>
        <w:t xml:space="preserve">, могат да включват планове за прилагане на Общата селскостопанска политика за периода след 2020 г.; </w:t>
      </w:r>
    </w:p>
    <w:p w14:paraId="2242947D" w14:textId="7EB9C6CE" w:rsidR="0083664A" w:rsidRPr="00F20F4C" w:rsidRDefault="0083664A" w:rsidP="004F15F5">
      <w:pPr>
        <w:pStyle w:val="ListParagraph"/>
        <w:numPr>
          <w:ilvl w:val="0"/>
          <w:numId w:val="45"/>
        </w:numPr>
        <w:autoSpaceDE w:val="0"/>
        <w:autoSpaceDN w:val="0"/>
        <w:adjustRightInd w:val="0"/>
        <w:spacing w:after="0" w:line="276" w:lineRule="auto"/>
        <w:jc w:val="both"/>
        <w:rPr>
          <w:rFonts w:ascii="Times New Roman" w:hAnsi="Times New Roman" w:cs="Times New Roman"/>
          <w:color w:val="000000"/>
          <w:sz w:val="24"/>
          <w:szCs w:val="24"/>
        </w:rPr>
      </w:pPr>
      <w:r w:rsidRPr="00F20F4C">
        <w:rPr>
          <w:rFonts w:ascii="Times New Roman" w:hAnsi="Times New Roman" w:cs="Times New Roman"/>
          <w:color w:val="000000"/>
          <w:sz w:val="24"/>
          <w:szCs w:val="24"/>
        </w:rPr>
        <w:t xml:space="preserve">Синхронизация между стратегически документи във връзка със сектора на отпадъците. Когато се извършва преразглеждане, актуализиране и разработване на стратегически документи, те трябва да бъдат съгласувани помежду си и с </w:t>
      </w:r>
      <w:r w:rsidR="005B5EB3">
        <w:rPr>
          <w:rFonts w:ascii="Times New Roman" w:hAnsi="Times New Roman" w:cs="Times New Roman"/>
          <w:color w:val="000000"/>
          <w:sz w:val="24"/>
          <w:szCs w:val="24"/>
        </w:rPr>
        <w:t>ИПЕК</w:t>
      </w:r>
      <w:r w:rsidRPr="00F20F4C">
        <w:rPr>
          <w:rFonts w:ascii="Times New Roman" w:hAnsi="Times New Roman" w:cs="Times New Roman"/>
          <w:color w:val="000000"/>
          <w:sz w:val="24"/>
          <w:szCs w:val="24"/>
        </w:rPr>
        <w:t xml:space="preserve">. Стратегическите документи, които ще бъдат преразгледани, актуализирани и съгласувани с </w:t>
      </w:r>
      <w:r w:rsidR="005B5EB3">
        <w:rPr>
          <w:rFonts w:ascii="Times New Roman" w:hAnsi="Times New Roman" w:cs="Times New Roman"/>
          <w:color w:val="000000"/>
          <w:sz w:val="24"/>
          <w:szCs w:val="24"/>
        </w:rPr>
        <w:t>ИПЕК</w:t>
      </w:r>
      <w:r w:rsidRPr="00F20F4C">
        <w:rPr>
          <w:rFonts w:ascii="Times New Roman" w:hAnsi="Times New Roman" w:cs="Times New Roman"/>
          <w:color w:val="000000"/>
          <w:sz w:val="24"/>
          <w:szCs w:val="24"/>
        </w:rPr>
        <w:t xml:space="preserve">, могат да включват: План за управление на отпадъците и съответните програми като Програма за постигане на биоразградими цели за отпадъци, в т.ч. за биологичните отпадъци и Програмата за подобряване на йерархията на управление на други потоци от отпадъци и намаляване на риска за околната среда от депата за периода след 2020 г. </w:t>
      </w:r>
    </w:p>
    <w:p w14:paraId="6F474E4F" w14:textId="77777777" w:rsidR="00D00B47" w:rsidRDefault="00D00B47"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1D9410CE"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Счита се, че прилагането на горепосочените допълнителни мерки има положително отражение както върху производството на първична енергия, така и върху секторите на ЗПЗГС. </w:t>
      </w:r>
    </w:p>
    <w:p w14:paraId="54557C16"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b/>
          <w:bCs/>
          <w:color w:val="000000"/>
          <w:sz w:val="24"/>
          <w:szCs w:val="24"/>
        </w:rPr>
        <w:t xml:space="preserve">Сектор Земеползване, промяна в земеползването и горско стопанство </w:t>
      </w:r>
    </w:p>
    <w:p w14:paraId="6E863C3E" w14:textId="77777777" w:rsidR="0083664A" w:rsidRPr="00D00B47" w:rsidRDefault="0083664A" w:rsidP="004F15F5">
      <w:pPr>
        <w:pStyle w:val="ListParagraph"/>
        <w:numPr>
          <w:ilvl w:val="0"/>
          <w:numId w:val="46"/>
        </w:numPr>
        <w:autoSpaceDE w:val="0"/>
        <w:autoSpaceDN w:val="0"/>
        <w:adjustRightInd w:val="0"/>
        <w:spacing w:after="0" w:line="276" w:lineRule="auto"/>
        <w:jc w:val="both"/>
        <w:rPr>
          <w:rFonts w:ascii="Times New Roman" w:hAnsi="Times New Roman" w:cs="Times New Roman"/>
          <w:color w:val="000000"/>
          <w:sz w:val="24"/>
          <w:szCs w:val="24"/>
        </w:rPr>
      </w:pPr>
      <w:r w:rsidRPr="00D00B47">
        <w:rPr>
          <w:rFonts w:ascii="Times New Roman" w:hAnsi="Times New Roman" w:cs="Times New Roman"/>
          <w:b/>
          <w:bCs/>
          <w:color w:val="000000"/>
          <w:sz w:val="24"/>
          <w:szCs w:val="24"/>
        </w:rPr>
        <w:t>Закон за горите</w:t>
      </w:r>
    </w:p>
    <w:p w14:paraId="2EC21813" w14:textId="77777777" w:rsidR="0083664A" w:rsidRPr="00D00B47" w:rsidRDefault="0083664A" w:rsidP="004F15F5">
      <w:pPr>
        <w:pStyle w:val="ListParagraph"/>
        <w:numPr>
          <w:ilvl w:val="0"/>
          <w:numId w:val="46"/>
        </w:numPr>
        <w:autoSpaceDE w:val="0"/>
        <w:autoSpaceDN w:val="0"/>
        <w:adjustRightInd w:val="0"/>
        <w:spacing w:after="0" w:line="276" w:lineRule="auto"/>
        <w:jc w:val="both"/>
        <w:rPr>
          <w:rFonts w:ascii="Times New Roman" w:hAnsi="Times New Roman" w:cs="Times New Roman"/>
          <w:color w:val="000000"/>
          <w:sz w:val="24"/>
          <w:szCs w:val="24"/>
        </w:rPr>
      </w:pPr>
      <w:r w:rsidRPr="00D00B47">
        <w:rPr>
          <w:rFonts w:ascii="Times New Roman" w:hAnsi="Times New Roman" w:cs="Times New Roman"/>
          <w:b/>
          <w:bCs/>
          <w:color w:val="000000"/>
          <w:sz w:val="24"/>
          <w:szCs w:val="24"/>
        </w:rPr>
        <w:t xml:space="preserve">Националния план за действие за енергия от горска биомаса 2018-2027 г. </w:t>
      </w:r>
    </w:p>
    <w:p w14:paraId="67226CFD" w14:textId="77777777" w:rsidR="0083664A" w:rsidRPr="00D00B47" w:rsidRDefault="0083664A" w:rsidP="004F15F5">
      <w:pPr>
        <w:pStyle w:val="ListParagraph"/>
        <w:numPr>
          <w:ilvl w:val="0"/>
          <w:numId w:val="46"/>
        </w:numPr>
        <w:autoSpaceDE w:val="0"/>
        <w:autoSpaceDN w:val="0"/>
        <w:adjustRightInd w:val="0"/>
        <w:spacing w:after="0" w:line="276" w:lineRule="auto"/>
        <w:jc w:val="both"/>
        <w:rPr>
          <w:rFonts w:ascii="Times New Roman" w:hAnsi="Times New Roman" w:cs="Times New Roman"/>
          <w:color w:val="000000"/>
          <w:sz w:val="24"/>
          <w:szCs w:val="24"/>
        </w:rPr>
      </w:pPr>
      <w:r w:rsidRPr="00D00B47">
        <w:rPr>
          <w:rFonts w:ascii="Times New Roman" w:hAnsi="Times New Roman" w:cs="Times New Roman"/>
          <w:b/>
          <w:bCs/>
          <w:color w:val="000000"/>
          <w:sz w:val="24"/>
          <w:szCs w:val="24"/>
        </w:rPr>
        <w:lastRenderedPageBreak/>
        <w:t xml:space="preserve">Национална стратегия за развитие на горския сектор в Република България за периода 2013-2020 г. </w:t>
      </w:r>
    </w:p>
    <w:p w14:paraId="2EBC08D1" w14:textId="77777777" w:rsidR="0083664A" w:rsidRPr="00D00B47" w:rsidRDefault="0083664A" w:rsidP="004F15F5">
      <w:pPr>
        <w:pStyle w:val="ListParagraph"/>
        <w:numPr>
          <w:ilvl w:val="0"/>
          <w:numId w:val="46"/>
        </w:numPr>
        <w:autoSpaceDE w:val="0"/>
        <w:autoSpaceDN w:val="0"/>
        <w:adjustRightInd w:val="0"/>
        <w:spacing w:after="0" w:line="276" w:lineRule="auto"/>
        <w:jc w:val="both"/>
        <w:rPr>
          <w:rFonts w:ascii="Times New Roman" w:hAnsi="Times New Roman" w:cs="Times New Roman"/>
          <w:color w:val="000000"/>
          <w:sz w:val="24"/>
          <w:szCs w:val="24"/>
        </w:rPr>
      </w:pPr>
      <w:r w:rsidRPr="00D00B47">
        <w:rPr>
          <w:rFonts w:ascii="Times New Roman" w:hAnsi="Times New Roman" w:cs="Times New Roman"/>
          <w:b/>
          <w:bCs/>
          <w:color w:val="000000"/>
          <w:sz w:val="24"/>
          <w:szCs w:val="24"/>
        </w:rPr>
        <w:t>Стратегически план за развитие на горския сектор 2014-2023 г. (СПРГС)</w:t>
      </w:r>
    </w:p>
    <w:p w14:paraId="7EAB0AC5" w14:textId="77777777" w:rsidR="00D00B47" w:rsidRDefault="00D00B47"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02C92766" w14:textId="77777777" w:rsidR="0083664A" w:rsidRPr="00167AF2" w:rsidRDefault="0083664A" w:rsidP="00321A4C">
      <w:pPr>
        <w:autoSpaceDE w:val="0"/>
        <w:autoSpaceDN w:val="0"/>
        <w:adjustRightInd w:val="0"/>
        <w:spacing w:after="0" w:line="276" w:lineRule="auto"/>
        <w:ind w:firstLine="709"/>
        <w:jc w:val="both"/>
        <w:rPr>
          <w:rFonts w:ascii="Times New Roman" w:hAnsi="Times New Roman" w:cs="Times New Roman"/>
          <w:sz w:val="24"/>
          <w:szCs w:val="24"/>
        </w:rPr>
      </w:pPr>
      <w:r w:rsidRPr="00167AF2">
        <w:rPr>
          <w:rFonts w:ascii="Times New Roman" w:hAnsi="Times New Roman" w:cs="Times New Roman"/>
          <w:i/>
          <w:iCs/>
          <w:sz w:val="24"/>
          <w:szCs w:val="24"/>
        </w:rPr>
        <w:t xml:space="preserve">ii. По целесъобразност, регионално сътрудничество в тази област </w:t>
      </w:r>
    </w:p>
    <w:p w14:paraId="79F92308" w14:textId="77777777" w:rsidR="0083664A" w:rsidRPr="00167AF2" w:rsidRDefault="0083664A" w:rsidP="00321A4C">
      <w:pPr>
        <w:autoSpaceDE w:val="0"/>
        <w:autoSpaceDN w:val="0"/>
        <w:adjustRightInd w:val="0"/>
        <w:spacing w:after="0" w:line="276" w:lineRule="auto"/>
        <w:ind w:firstLine="709"/>
        <w:jc w:val="both"/>
        <w:rPr>
          <w:rFonts w:ascii="Times New Roman" w:hAnsi="Times New Roman" w:cs="Times New Roman"/>
          <w:iCs/>
          <w:sz w:val="24"/>
          <w:szCs w:val="24"/>
        </w:rPr>
      </w:pPr>
      <w:r w:rsidRPr="00167AF2">
        <w:rPr>
          <w:rFonts w:ascii="Times New Roman" w:hAnsi="Times New Roman" w:cs="Times New Roman"/>
          <w:iCs/>
          <w:sz w:val="24"/>
          <w:szCs w:val="24"/>
        </w:rPr>
        <w:t>Регионалното сътрудничество в тази област не е целесъобразно</w:t>
      </w:r>
    </w:p>
    <w:p w14:paraId="65C1E5D7" w14:textId="77777777" w:rsidR="00167AF2" w:rsidRPr="00321A4C" w:rsidRDefault="00167AF2"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5A9B444B" w14:textId="77777777" w:rsidR="0083664A" w:rsidRPr="00167AF2" w:rsidRDefault="0083664A" w:rsidP="00321A4C">
      <w:pPr>
        <w:autoSpaceDE w:val="0"/>
        <w:autoSpaceDN w:val="0"/>
        <w:adjustRightInd w:val="0"/>
        <w:spacing w:after="0" w:line="276" w:lineRule="auto"/>
        <w:ind w:firstLine="709"/>
        <w:jc w:val="both"/>
        <w:rPr>
          <w:rFonts w:ascii="Times New Roman" w:hAnsi="Times New Roman" w:cs="Times New Roman"/>
          <w:sz w:val="24"/>
          <w:szCs w:val="24"/>
        </w:rPr>
      </w:pPr>
      <w:r w:rsidRPr="00167AF2">
        <w:rPr>
          <w:rFonts w:ascii="Times New Roman" w:hAnsi="Times New Roman" w:cs="Times New Roman"/>
          <w:i/>
          <w:iCs/>
          <w:sz w:val="24"/>
          <w:szCs w:val="24"/>
        </w:rPr>
        <w:t xml:space="preserve">iii. Без да се засяга приложимостта на правилата за държавната помощ, финансовите мерки, в това число подкрепата от страна на Съюза и използването на фондовете на Съюза в тази област и на национално равнище, ако е приложимо </w:t>
      </w:r>
    </w:p>
    <w:p w14:paraId="1197CD43" w14:textId="77777777" w:rsidR="0083664A" w:rsidRPr="00167AF2" w:rsidRDefault="0083664A" w:rsidP="00321A4C">
      <w:pPr>
        <w:autoSpaceDE w:val="0"/>
        <w:autoSpaceDN w:val="0"/>
        <w:adjustRightInd w:val="0"/>
        <w:spacing w:after="0" w:line="276" w:lineRule="auto"/>
        <w:ind w:firstLine="709"/>
        <w:jc w:val="both"/>
        <w:rPr>
          <w:rFonts w:ascii="Times New Roman" w:hAnsi="Times New Roman" w:cs="Times New Roman"/>
          <w:b/>
          <w:i/>
          <w:color w:val="000000"/>
          <w:sz w:val="24"/>
          <w:szCs w:val="24"/>
        </w:rPr>
      </w:pPr>
      <w:r w:rsidRPr="00167AF2">
        <w:rPr>
          <w:rFonts w:ascii="Times New Roman" w:hAnsi="Times New Roman" w:cs="Times New Roman"/>
          <w:b/>
          <w:i/>
          <w:iCs/>
          <w:color w:val="000000"/>
          <w:sz w:val="24"/>
          <w:szCs w:val="24"/>
        </w:rPr>
        <w:t xml:space="preserve">Не приложимо </w:t>
      </w:r>
    </w:p>
    <w:p w14:paraId="07AA38EB" w14:textId="77777777" w:rsidR="00167AF2" w:rsidRDefault="00167AF2" w:rsidP="00321A4C">
      <w:pPr>
        <w:autoSpaceDE w:val="0"/>
        <w:autoSpaceDN w:val="0"/>
        <w:adjustRightInd w:val="0"/>
        <w:spacing w:after="0" w:line="276" w:lineRule="auto"/>
        <w:ind w:firstLine="709"/>
        <w:jc w:val="both"/>
        <w:rPr>
          <w:rFonts w:ascii="Times New Roman" w:hAnsi="Times New Roman" w:cs="Times New Roman"/>
          <w:color w:val="365F91"/>
          <w:sz w:val="24"/>
          <w:szCs w:val="24"/>
        </w:rPr>
      </w:pPr>
    </w:p>
    <w:p w14:paraId="28563DFA" w14:textId="77777777" w:rsidR="0083664A" w:rsidRPr="00167AF2" w:rsidRDefault="0083664A" w:rsidP="00321A4C">
      <w:pPr>
        <w:autoSpaceDE w:val="0"/>
        <w:autoSpaceDN w:val="0"/>
        <w:adjustRightInd w:val="0"/>
        <w:spacing w:after="0" w:line="276" w:lineRule="auto"/>
        <w:ind w:firstLine="709"/>
        <w:jc w:val="both"/>
        <w:rPr>
          <w:rFonts w:ascii="Times New Roman" w:hAnsi="Times New Roman" w:cs="Times New Roman"/>
          <w:b/>
          <w:sz w:val="24"/>
          <w:szCs w:val="24"/>
        </w:rPr>
      </w:pPr>
      <w:r w:rsidRPr="00167AF2">
        <w:rPr>
          <w:rFonts w:ascii="Times New Roman" w:hAnsi="Times New Roman" w:cs="Times New Roman"/>
          <w:b/>
          <w:sz w:val="24"/>
          <w:szCs w:val="24"/>
        </w:rPr>
        <w:t xml:space="preserve">Енергия от възобновяеми източници </w:t>
      </w:r>
    </w:p>
    <w:p w14:paraId="0F9478EA"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За постигането на определената национална цел от 29.9 % дял на енергията от ВИ в брутното крайно потребление на енергия до 2030 г. ще бъдат прилагани съществуващи, а така също и допълнителни политики и мерки. </w:t>
      </w:r>
    </w:p>
    <w:p w14:paraId="4DEF5B5C"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Политиките и мерките отчитат приоритетите и насоките в новата европейска политика в областта на енергетиката и климата и са съобразени с натрупания опит и постигнатите резултати от провежданите до настоящия момент политики и мерки в областта на производството и потреблението на енергия от ВИ. Целта е да бъде постигнато разходоефективно развитие на енергията от ВИ, като важна част от политиката за декарбонизация на ЕС до 2030 г. </w:t>
      </w:r>
    </w:p>
    <w:p w14:paraId="7290B4A8"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периода 2021-2030 г. развитието на сектор електрическа енергия е съобразено с възможността за максимално интегриране на произведената електрическа енергия от ВИ в електроенергийния пазар, отчитане на децентрализираното производство на електрическа енергия и осигуряване на потребителите на електрическа енергия от ВИ на възможно най-ниска цена. </w:t>
      </w:r>
    </w:p>
    <w:p w14:paraId="346F81E0"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Създадена е благоприятна рамка за насърчаване и улесняване на развитието на потреблението на собствена електрическа енергия от ВИ и създаване на общности за възобновяема енергия. </w:t>
      </w:r>
    </w:p>
    <w:p w14:paraId="34D63722"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За по-широкото и ежегодно увеличаващо се потребление на енергията от ВИ в сектор топлинна енергия и енергия за охлаждане се дава приоритет на използването на високоефективните отоплителни и охладителни инсталации, на въвеждането на иновативните технологии, използващи геотермална, хидротермална и слънчева енергия, и на използването на отпадна топлина и студ. </w:t>
      </w:r>
    </w:p>
    <w:p w14:paraId="190DD524"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Използването на биомаса за централизирано и локално производство на топлинна енергия ще се увеличи при спазване на изискванията на чл. 28, параграфи 2</w:t>
      </w:r>
      <w:r w:rsidR="00A20EAA">
        <w:rPr>
          <w:rFonts w:ascii="Times New Roman" w:hAnsi="Times New Roman" w:cs="Times New Roman"/>
          <w:color w:val="000000"/>
          <w:sz w:val="24"/>
          <w:szCs w:val="24"/>
        </w:rPr>
        <w:t>-7</w:t>
      </w:r>
      <w:r w:rsidRPr="00321A4C">
        <w:rPr>
          <w:rFonts w:ascii="Times New Roman" w:hAnsi="Times New Roman" w:cs="Times New Roman"/>
          <w:color w:val="000000"/>
          <w:sz w:val="24"/>
          <w:szCs w:val="24"/>
        </w:rPr>
        <w:t xml:space="preserve"> и параграф 10 на Директива (ЕС) 2018/2001. </w:t>
      </w:r>
    </w:p>
    <w:p w14:paraId="42B68BFD" w14:textId="77777777" w:rsidR="0083664A" w:rsidRPr="00321A4C" w:rsidRDefault="0083664A" w:rsidP="00167AF2">
      <w:pPr>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За постигането на 29% дял на енергията от ВИ в сектор транспорт ще се насърчава навлизането на биогорива от ново поколение, възобновяеми течни и газообразни</w:t>
      </w:r>
      <w:r w:rsidR="00167AF2">
        <w:rPr>
          <w:rFonts w:ascii="Times New Roman" w:hAnsi="Times New Roman" w:cs="Times New Roman"/>
          <w:color w:val="000000"/>
          <w:sz w:val="24"/>
          <w:szCs w:val="24"/>
        </w:rPr>
        <w:t xml:space="preserve"> </w:t>
      </w:r>
      <w:r w:rsidRPr="00321A4C">
        <w:rPr>
          <w:rFonts w:ascii="Times New Roman" w:hAnsi="Times New Roman" w:cs="Times New Roman"/>
          <w:color w:val="000000"/>
          <w:sz w:val="24"/>
          <w:szCs w:val="24"/>
        </w:rPr>
        <w:lastRenderedPageBreak/>
        <w:t xml:space="preserve">транспортни горива от небиологичен произход, рециклирани въглеродни горива и възобновяемата електрическа енергия, доставяна за сектора на пътния и железопътния транспорт. Потреблението на тези горива и енергия следва да допринесе за постигането на целите на политиката за енергийна диверсификация и декарбонизация на сектор транспорт. За използването на електрическа енергия от ВИ в транспорта, усилията ще бъдат насочени към разгръщане на електрическата мобилност, развитието и стимулиране използването на обществения електрически транспорт, както и към ускоряване интеграцията на съвременни технологии в железопътен сектор. </w:t>
      </w:r>
    </w:p>
    <w:p w14:paraId="70252E71" w14:textId="77777777" w:rsidR="00167AF2" w:rsidRDefault="00167AF2" w:rsidP="00321A4C">
      <w:pPr>
        <w:autoSpaceDE w:val="0"/>
        <w:autoSpaceDN w:val="0"/>
        <w:adjustRightInd w:val="0"/>
        <w:spacing w:after="0" w:line="276" w:lineRule="auto"/>
        <w:ind w:firstLine="709"/>
        <w:jc w:val="both"/>
        <w:rPr>
          <w:rFonts w:ascii="Times New Roman" w:hAnsi="Times New Roman" w:cs="Times New Roman"/>
          <w:i/>
          <w:iCs/>
          <w:color w:val="365F91"/>
          <w:sz w:val="24"/>
          <w:szCs w:val="24"/>
        </w:rPr>
      </w:pPr>
    </w:p>
    <w:p w14:paraId="5D739478" w14:textId="77777777" w:rsidR="0083664A" w:rsidRPr="00167AF2" w:rsidRDefault="0083664A" w:rsidP="00321A4C">
      <w:pPr>
        <w:autoSpaceDE w:val="0"/>
        <w:autoSpaceDN w:val="0"/>
        <w:adjustRightInd w:val="0"/>
        <w:spacing w:after="0" w:line="276" w:lineRule="auto"/>
        <w:ind w:firstLine="709"/>
        <w:jc w:val="both"/>
        <w:rPr>
          <w:rFonts w:ascii="Times New Roman" w:hAnsi="Times New Roman" w:cs="Times New Roman"/>
          <w:sz w:val="24"/>
          <w:szCs w:val="24"/>
        </w:rPr>
      </w:pPr>
      <w:r w:rsidRPr="00167AF2">
        <w:rPr>
          <w:rFonts w:ascii="Times New Roman" w:hAnsi="Times New Roman" w:cs="Times New Roman"/>
          <w:i/>
          <w:iCs/>
          <w:sz w:val="24"/>
          <w:szCs w:val="24"/>
        </w:rPr>
        <w:t xml:space="preserve">i. Политики и мерки за изпълнение на националния принос към обвързващата цел за 2030 г. на равнището на Съюза за възобновяема енергия и за кривите, посочени в член 4, буква а), подточка 2, и ако е приложимо или ако са налични — елементите, представени в точка </w:t>
      </w:r>
      <w:r w:rsidR="00CE6E9E">
        <w:rPr>
          <w:rFonts w:ascii="Times New Roman" w:hAnsi="Times New Roman" w:cs="Times New Roman"/>
          <w:i/>
          <w:iCs/>
          <w:sz w:val="24"/>
          <w:szCs w:val="24"/>
        </w:rPr>
        <w:t>1.</w:t>
      </w:r>
      <w:r w:rsidRPr="00167AF2">
        <w:rPr>
          <w:rFonts w:ascii="Times New Roman" w:hAnsi="Times New Roman" w:cs="Times New Roman"/>
          <w:i/>
          <w:iCs/>
          <w:sz w:val="24"/>
          <w:szCs w:val="24"/>
        </w:rPr>
        <w:t>2.1.</w:t>
      </w:r>
      <w:r w:rsidR="00CE6E9E">
        <w:rPr>
          <w:rFonts w:ascii="Times New Roman" w:hAnsi="Times New Roman" w:cs="Times New Roman"/>
          <w:i/>
          <w:iCs/>
          <w:sz w:val="24"/>
          <w:szCs w:val="24"/>
        </w:rPr>
        <w:t>1</w:t>
      </w:r>
      <w:r w:rsidRPr="00167AF2">
        <w:rPr>
          <w:rFonts w:ascii="Times New Roman" w:hAnsi="Times New Roman" w:cs="Times New Roman"/>
          <w:i/>
          <w:iCs/>
          <w:sz w:val="24"/>
          <w:szCs w:val="24"/>
        </w:rPr>
        <w:t xml:space="preserve">, включително секторни мерки и мерки с оглед на конкретна технология </w:t>
      </w:r>
    </w:p>
    <w:p w14:paraId="36139D54"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i/>
          <w:iCs/>
          <w:color w:val="000000"/>
          <w:sz w:val="24"/>
          <w:szCs w:val="24"/>
        </w:rPr>
        <w:t xml:space="preserve">1) Схеми за подпомагане </w:t>
      </w:r>
    </w:p>
    <w:p w14:paraId="29878246"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периода от 2021 г. до 2030 г. ще продължи предоставянето на подкрепа под формата на преференциални цени по вече сключени договори за изкупуване на електрическа енергия от ВИ, произведена от централи с обща инсталирана мощност по-малка от 1 MW. В посочения период получаването на преференциални цени и изкупуването по дългосрочни договори е предвидено само при въвеждането на нови инсталации с обща инсталирана мощност до 30 kW включително, които се предвижда да бъдат изградени върху покривни и фасадни конструкции на присъединени към електроразпределителната мрежа сгради и върху недвижими имоти към тях в урбанизирани територии. </w:t>
      </w:r>
    </w:p>
    <w:p w14:paraId="4E9D7A57"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Производството на електрическа енергия от ВИ от централи с обща инсталирана мощност 500 kW и над 500 kW, за които са сключени дългосрочни договори за изкупуване по преференциални цени ще се стимулира чрез предоставяне на премия за количеството електрическа енергия, продадено на борсовия пазар. Предоставянето на помощта ще продължи до изтичане на определения в договорите за изкупуване срок. </w:t>
      </w:r>
    </w:p>
    <w:p w14:paraId="0A6B3D51" w14:textId="77777777" w:rsidR="0083664A" w:rsidRPr="00167AF2" w:rsidRDefault="0083664A" w:rsidP="00321A4C">
      <w:pPr>
        <w:spacing w:after="0" w:line="276" w:lineRule="auto"/>
        <w:ind w:firstLine="709"/>
        <w:jc w:val="both"/>
        <w:rPr>
          <w:rFonts w:ascii="Times New Roman" w:hAnsi="Times New Roman" w:cs="Times New Roman"/>
          <w:sz w:val="24"/>
          <w:szCs w:val="24"/>
          <w:lang w:val="en-US"/>
        </w:rPr>
      </w:pPr>
      <w:r w:rsidRPr="00321A4C">
        <w:rPr>
          <w:rFonts w:ascii="Times New Roman" w:hAnsi="Times New Roman" w:cs="Times New Roman"/>
          <w:color w:val="000000"/>
          <w:sz w:val="24"/>
          <w:szCs w:val="24"/>
        </w:rPr>
        <w:t xml:space="preserve">Остатъчният бюджет за помощта за производство на електрическа енергия от ВИ за периода от 1 януари 2019 г. до изтичане на </w:t>
      </w:r>
      <w:r w:rsidRPr="00167AF2">
        <w:rPr>
          <w:rFonts w:ascii="Times New Roman" w:hAnsi="Times New Roman" w:cs="Times New Roman"/>
          <w:sz w:val="24"/>
          <w:szCs w:val="24"/>
        </w:rPr>
        <w:t>определените в договорите за изкупуване/премии срокове възлиза на 4 970 746 хил. евро.</w:t>
      </w:r>
    </w:p>
    <w:p w14:paraId="4F1BFA82"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Изграждането на нови централи, използващи вятърна и слънчева енергия, и биомаса ще се реализира на пазарен принцип и без предоставянето на инвестиционна или оперативна финансова подкрепа. </w:t>
      </w:r>
    </w:p>
    <w:p w14:paraId="7F661BE6"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Като подходяща форма на подпомагане се обмисля и възможността за провеждането на търгове за предоставяне на капацитет за производството на електрическа енергия от ВИ и предоставянето на добавка под формата на премия към пазарната цена за продаваната електрическата енергия на електроенергийния пазар. </w:t>
      </w:r>
    </w:p>
    <w:p w14:paraId="0B493C1F"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Посочените схеми за подпомагане ще бъдат съобразени с изискванията на приложимите разпоредби и насоки за предоставяне на държавни помощи на европейско ниво. </w:t>
      </w:r>
    </w:p>
    <w:p w14:paraId="13942497" w14:textId="5FE33634"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lastRenderedPageBreak/>
        <w:t xml:space="preserve">Годишното изпълнение на целта за дял на енергията от ВИ в брутното крайно потребление на енергия ще бъде предмет на анализ в двугодишните доклади на </w:t>
      </w:r>
      <w:r w:rsidR="005B5EB3">
        <w:rPr>
          <w:rFonts w:ascii="Times New Roman" w:hAnsi="Times New Roman" w:cs="Times New Roman"/>
          <w:color w:val="000000"/>
          <w:sz w:val="24"/>
          <w:szCs w:val="24"/>
        </w:rPr>
        <w:t>ИПЕК</w:t>
      </w:r>
      <w:r w:rsidRPr="00321A4C">
        <w:rPr>
          <w:rFonts w:ascii="Times New Roman" w:hAnsi="Times New Roman" w:cs="Times New Roman"/>
          <w:color w:val="000000"/>
          <w:sz w:val="24"/>
          <w:szCs w:val="24"/>
        </w:rPr>
        <w:t xml:space="preserve"> и в случай на констатирано неизпълнение, и необходимост от нови енергийни обекти може да бъде инициирана процедура за стартиране на схема за подпомагане чрез търгове. </w:t>
      </w:r>
    </w:p>
    <w:p w14:paraId="354C7897" w14:textId="77777777" w:rsidR="00167AF2" w:rsidRDefault="00167AF2"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51BB1A7C"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2) </w:t>
      </w:r>
      <w:r w:rsidRPr="00321A4C">
        <w:rPr>
          <w:rFonts w:ascii="Times New Roman" w:hAnsi="Times New Roman" w:cs="Times New Roman"/>
          <w:i/>
          <w:iCs/>
          <w:color w:val="000000"/>
          <w:sz w:val="24"/>
          <w:szCs w:val="24"/>
        </w:rPr>
        <w:t xml:space="preserve">Облекчаване на административните процедури и процедурите по присъединяване при изграждане на енергийни обекти за производство на електрическа енергия от ВИ </w:t>
      </w:r>
    </w:p>
    <w:p w14:paraId="11F3FAE4"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Рационализирането на административните процедури и ускоряването на процедурите по присъединяване са ключов фактор за ускоряване използването на енергия от ВИ във всички сектори, в т.ч. в промишлеността и сградния фонд. В тази посока са предприети действия по изменения в законодателството, регламентиращо изграждането и присъединяването на енергийни обекти, използващи енергия от ВИ. Извършване на промени в нормативната уредба, свързани с преодоляване на идентифицираните в оценките по чл. 18а, т. 5 и чл. 18б, т. 4 от ЗЕВИ бариери пред развитието на потребителите на собствена електрическа енергия и общност за възобновяема енергия. </w:t>
      </w:r>
    </w:p>
    <w:p w14:paraId="57ECA942"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изпълнение на изискванията на чл. 7, ал. 2, т. 17 от ЗЕВИ изпълнителният директор на Агенцията за устойчиво енергийно развитие изготвя оценка на съществуващите неоснователни пречки и на потенциала за развитието на потребителите на собствена електрическа енергия и на общностите за възобновяема енергия. Изготвените оценки се представят за одобрение от миистъра на енергетиката и съдържат предложения за премахване на необоснованите регулаторни и административни пречки. </w:t>
      </w:r>
    </w:p>
    <w:p w14:paraId="2D263E2A" w14:textId="77777777" w:rsidR="00167AF2" w:rsidRDefault="00167AF2"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2F2BAE65" w14:textId="77777777" w:rsidR="0083664A" w:rsidRPr="00167AF2" w:rsidRDefault="0083664A" w:rsidP="00321A4C">
      <w:pPr>
        <w:autoSpaceDE w:val="0"/>
        <w:autoSpaceDN w:val="0"/>
        <w:adjustRightInd w:val="0"/>
        <w:spacing w:after="0" w:line="276" w:lineRule="auto"/>
        <w:ind w:firstLine="709"/>
        <w:jc w:val="both"/>
        <w:rPr>
          <w:rFonts w:ascii="Times New Roman" w:hAnsi="Times New Roman" w:cs="Times New Roman"/>
          <w:i/>
          <w:color w:val="000000"/>
          <w:sz w:val="24"/>
          <w:szCs w:val="24"/>
        </w:rPr>
      </w:pPr>
      <w:r w:rsidRPr="00167AF2">
        <w:rPr>
          <w:rFonts w:ascii="Times New Roman" w:hAnsi="Times New Roman" w:cs="Times New Roman"/>
          <w:i/>
          <w:color w:val="000000"/>
          <w:sz w:val="24"/>
          <w:szCs w:val="24"/>
        </w:rPr>
        <w:t xml:space="preserve">3) Създаване на възможност за развитие на вятърната енергия в морето </w:t>
      </w:r>
    </w:p>
    <w:p w14:paraId="39CE2A10" w14:textId="77777777" w:rsidR="0083664A" w:rsidRPr="00154913" w:rsidRDefault="0083664A" w:rsidP="00321A4C">
      <w:pPr>
        <w:spacing w:after="0" w:line="276" w:lineRule="auto"/>
        <w:ind w:firstLine="709"/>
        <w:jc w:val="both"/>
        <w:rPr>
          <w:rFonts w:ascii="Times New Roman" w:hAnsi="Times New Roman" w:cs="Times New Roman"/>
          <w:sz w:val="24"/>
          <w:szCs w:val="24"/>
          <w:lang w:val="en-US"/>
        </w:rPr>
      </w:pPr>
      <w:r w:rsidRPr="00321A4C">
        <w:rPr>
          <w:rFonts w:ascii="Times New Roman" w:hAnsi="Times New Roman" w:cs="Times New Roman"/>
          <w:color w:val="000000"/>
          <w:sz w:val="24"/>
          <w:szCs w:val="24"/>
        </w:rPr>
        <w:t xml:space="preserve">В процес на разработване са законодателни промени, с които ще се регламентират условията за изграждане на енергийни обекти в морските пространства. Предстои определянето на институциите, отговорни за административните процедури и процедурите по присъединяване енергийни </w:t>
      </w:r>
      <w:r w:rsidRPr="00321A4C">
        <w:rPr>
          <w:rFonts w:ascii="Times New Roman" w:hAnsi="Times New Roman" w:cs="Times New Roman"/>
          <w:sz w:val="24"/>
          <w:szCs w:val="24"/>
        </w:rPr>
        <w:t>обекти при осъществяване на инвестиционни проекти в морските пространства.</w:t>
      </w:r>
    </w:p>
    <w:p w14:paraId="35308BB1"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154913">
        <w:rPr>
          <w:rFonts w:ascii="Times New Roman" w:hAnsi="Times New Roman" w:cs="Times New Roman"/>
          <w:sz w:val="24"/>
          <w:szCs w:val="24"/>
        </w:rPr>
        <w:t>Въвеждане на процес на планира</w:t>
      </w:r>
      <w:r w:rsidRPr="00321A4C">
        <w:rPr>
          <w:rFonts w:ascii="Times New Roman" w:hAnsi="Times New Roman" w:cs="Times New Roman"/>
          <w:color w:val="000000"/>
          <w:sz w:val="24"/>
          <w:szCs w:val="24"/>
        </w:rPr>
        <w:t xml:space="preserve">не на приоритетни зони за ускорено развитие на енергийни обекти за производство на електрическа енергия от вятърна енергия </w:t>
      </w:r>
    </w:p>
    <w:p w14:paraId="226BE403" w14:textId="77777777" w:rsidR="0083664A"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Предстои разработването на План за определяне на приоритетни зони за развитие на обекти за производство на електрическа енергия от вятърна енергия. В процеса на планиране с приоритет ще се разглеждат изкуствените застроени площи, като покриви на сгради, площи със съществуваща транспортна инфраструктура, зони за паркиране, площадки за отпадъци, промишлени зони, индустриални паркове кариери, изкуствени водни басейни и резервоари, урбанизирани територии, нарушени терени, пасища, хвостохранилища, депа за отпадъци и земи с влошено качество, които не може да се използват в селското стопанство. В приоритетните зони ще се въведат кратки срокове за административни разрешения за изграждане, реконструкция и въвеждане в експлоатация на </w:t>
      </w:r>
      <w:r w:rsidRPr="00321A4C">
        <w:rPr>
          <w:rFonts w:ascii="Times New Roman" w:hAnsi="Times New Roman" w:cs="Times New Roman"/>
          <w:color w:val="000000"/>
          <w:sz w:val="24"/>
          <w:szCs w:val="24"/>
        </w:rPr>
        <w:lastRenderedPageBreak/>
        <w:t xml:space="preserve">енергийни обекти, а така също за извършването на оценка на въздействието върху околната среда. </w:t>
      </w:r>
    </w:p>
    <w:p w14:paraId="20171159" w14:textId="77777777" w:rsidR="00167AF2" w:rsidRPr="00167AF2" w:rsidRDefault="00167AF2" w:rsidP="00321A4C">
      <w:pPr>
        <w:autoSpaceDE w:val="0"/>
        <w:autoSpaceDN w:val="0"/>
        <w:adjustRightInd w:val="0"/>
        <w:spacing w:after="0" w:line="276" w:lineRule="auto"/>
        <w:ind w:firstLine="709"/>
        <w:jc w:val="both"/>
        <w:rPr>
          <w:rFonts w:ascii="Times New Roman" w:hAnsi="Times New Roman" w:cs="Times New Roman"/>
          <w:i/>
          <w:color w:val="000000"/>
          <w:sz w:val="24"/>
          <w:szCs w:val="24"/>
        </w:rPr>
      </w:pPr>
    </w:p>
    <w:p w14:paraId="30013709" w14:textId="77777777" w:rsidR="0083664A" w:rsidRPr="00167AF2" w:rsidRDefault="0083664A" w:rsidP="00321A4C">
      <w:pPr>
        <w:autoSpaceDE w:val="0"/>
        <w:autoSpaceDN w:val="0"/>
        <w:adjustRightInd w:val="0"/>
        <w:spacing w:after="0" w:line="276" w:lineRule="auto"/>
        <w:ind w:firstLine="709"/>
        <w:jc w:val="both"/>
        <w:rPr>
          <w:rFonts w:ascii="Times New Roman" w:hAnsi="Times New Roman" w:cs="Times New Roman"/>
          <w:i/>
          <w:color w:val="000000"/>
          <w:sz w:val="24"/>
          <w:szCs w:val="24"/>
        </w:rPr>
      </w:pPr>
      <w:r w:rsidRPr="00167AF2">
        <w:rPr>
          <w:rFonts w:ascii="Times New Roman" w:hAnsi="Times New Roman" w:cs="Times New Roman"/>
          <w:i/>
          <w:color w:val="000000"/>
          <w:sz w:val="24"/>
          <w:szCs w:val="24"/>
        </w:rPr>
        <w:t xml:space="preserve">5) Създаване на центрове за административно обслужване </w:t>
      </w:r>
    </w:p>
    <w:p w14:paraId="39A9147C"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За улесняване на инвестиционния процес към всяка община се създават центрове за административно обслужване, които да предоставят указания и информация и да организират процедурите по издаване на разрешение за строеж и/или на разрешение за ползване или удостоверение за въвеждането в експлоатация на енергийни обекти и съоръжения за производство на енергия от възобновяеми източници и на съоръжения за присъединяването им към съответната мрежа, включително при реконструкция и модернизация на съществуващи енергийни обекти и съоръжения за производство на енергия от ВИ. </w:t>
      </w:r>
    </w:p>
    <w:p w14:paraId="2683A613" w14:textId="77777777" w:rsidR="00167AF2" w:rsidRDefault="00167AF2"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2386F641"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6) </w:t>
      </w:r>
      <w:r w:rsidRPr="00321A4C">
        <w:rPr>
          <w:rFonts w:ascii="Times New Roman" w:hAnsi="Times New Roman" w:cs="Times New Roman"/>
          <w:i/>
          <w:iCs/>
          <w:color w:val="000000"/>
          <w:sz w:val="24"/>
          <w:szCs w:val="24"/>
        </w:rPr>
        <w:t xml:space="preserve">Изисквания за използване на енергия от ВИ в сгради </w:t>
      </w:r>
    </w:p>
    <w:p w14:paraId="0BA1DCCE"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Закона за енергията от възобновяеми източници са поставени изисквания за използване на енергия от ВИ при изграждане на нови или при реконструкция, основно обновяване, основен ремонт или преустройство на съществуващи сгради, когато това е технически възможно и икономически целесъобразно. Предвидено е най-малко 15 на сто от общото количество топлинна енергия и енергия за охлаждане, необходима на сградата да бъде произведена от ВИ чрез въвеждане на: </w:t>
      </w:r>
    </w:p>
    <w:p w14:paraId="5BA07F5C"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централизирано отопление, използващо биомаса или геотермална енергия; </w:t>
      </w:r>
    </w:p>
    <w:p w14:paraId="3742D2ED"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индивидуални съоръжения за изгаряне на биомаса с ефективност на преобразуването най-малко 85 на сто при жилищни и търговски сгради и 70 на сто при промишлени сгради; </w:t>
      </w:r>
    </w:p>
    <w:p w14:paraId="19A29429"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слънчеви топлинни инсталации; </w:t>
      </w:r>
    </w:p>
    <w:p w14:paraId="0D1A9601"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термопомпи и геотермални системи. </w:t>
      </w:r>
    </w:p>
    <w:p w14:paraId="4FF9652D" w14:textId="77777777" w:rsidR="0083664A" w:rsidRPr="00321A4C" w:rsidRDefault="0083664A" w:rsidP="0089648E">
      <w:pPr>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В съответствие с изискванията на Наредба № РД-02-20-3 от 9.11.2022 г. за техническите изисквания към енергийните характеристики на сгради считано от 1 януари 2024 г. всички нови сгради се проектират с близко до нулево потребление на енергия, като</w:t>
      </w:r>
      <w:r w:rsidR="0089648E">
        <w:rPr>
          <w:rFonts w:ascii="Times New Roman" w:hAnsi="Times New Roman" w:cs="Times New Roman"/>
          <w:color w:val="000000"/>
          <w:sz w:val="24"/>
          <w:szCs w:val="24"/>
        </w:rPr>
        <w:t xml:space="preserve"> </w:t>
      </w:r>
      <w:r w:rsidRPr="00321A4C">
        <w:rPr>
          <w:rFonts w:ascii="Times New Roman" w:hAnsi="Times New Roman" w:cs="Times New Roman"/>
          <w:color w:val="000000"/>
          <w:sz w:val="24"/>
          <w:szCs w:val="24"/>
        </w:rPr>
        <w:t xml:space="preserve">„Сграда с близко до нулево потребление на енергия“ е сграда, която отговаря едновременно на следните условия: </w:t>
      </w:r>
    </w:p>
    <w:p w14:paraId="2DAB4DC2"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а) енергопотреблението на сградата, определено като първична енергия, отговаря на клас А от скалата на класовете на енергопотребление за съответния тип сгради; </w:t>
      </w:r>
    </w:p>
    <w:p w14:paraId="1FD2E039"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б) не по-малко от 55 на сто от потребената (доставената) енергия за отопление, охлаждане, вентилация, гореща вода за битови нужди и осветление е енергия от възобновяеми източници, разположени на място на ниво сграда или в близост до сградата. </w:t>
      </w:r>
    </w:p>
    <w:p w14:paraId="77F0AEE4" w14:textId="77777777" w:rsidR="0089648E" w:rsidRDefault="0089648E"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677245E8"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7) </w:t>
      </w:r>
      <w:r w:rsidRPr="00321A4C">
        <w:rPr>
          <w:rFonts w:ascii="Times New Roman" w:hAnsi="Times New Roman" w:cs="Times New Roman"/>
          <w:i/>
          <w:iCs/>
          <w:color w:val="000000"/>
          <w:sz w:val="24"/>
          <w:szCs w:val="24"/>
        </w:rPr>
        <w:t xml:space="preserve">Регламентиране на изисквания за изграждането на вятърни електрически централи в морето </w:t>
      </w:r>
    </w:p>
    <w:p w14:paraId="25F0B079"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lastRenderedPageBreak/>
        <w:t xml:space="preserve">С оглед регламентиране на нормативни изисквания за изграждането на вятърни електрически централи в морето са в процес на разработване законодателни промени, които да позволят ефективното усвояване на ветровия потенциал и създаването на условия за реализирането на бъдещи съвместни проекти с други държави членки. </w:t>
      </w:r>
    </w:p>
    <w:p w14:paraId="1DAEC79C" w14:textId="77777777" w:rsidR="0089648E" w:rsidRDefault="0089648E"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552C613F"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8) </w:t>
      </w:r>
      <w:r w:rsidRPr="00321A4C">
        <w:rPr>
          <w:rFonts w:ascii="Times New Roman" w:hAnsi="Times New Roman" w:cs="Times New Roman"/>
          <w:i/>
          <w:iCs/>
          <w:color w:val="000000"/>
          <w:sz w:val="24"/>
          <w:szCs w:val="24"/>
        </w:rPr>
        <w:t xml:space="preserve">Създаване на условия за издаване на гаранции за произход за енергия от ВИ, </w:t>
      </w:r>
      <w:r w:rsidRPr="00321A4C">
        <w:rPr>
          <w:rFonts w:ascii="Times New Roman" w:hAnsi="Times New Roman" w:cs="Times New Roman"/>
          <w:color w:val="000000"/>
          <w:sz w:val="24"/>
          <w:szCs w:val="24"/>
        </w:rPr>
        <w:t xml:space="preserve">биогаз и зелен водород </w:t>
      </w:r>
    </w:p>
    <w:p w14:paraId="229B82DC"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процес на разработване е нова наредба, с която ще бъдат определени условията и редът за създаване и поддържане на системата за издаване на гаранции за произход, включително за създаване и поддържане на единен електронен регистър на гаранциите за произход. С наредбата ще се въведат изискванията на стандарт CEN-EN 16325 при издаването, прехвърлянето и отмяната на гаранциите за произход и ще се предостави възможност за издаване на гаранция за произход за биогаз и зелен водород. </w:t>
      </w:r>
    </w:p>
    <w:p w14:paraId="42F7E4A6"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Планирани са и дейности на Агенцията за устойчиво енергийно развитие, свързани с пълноправното ѝ членството в Европейската асоциация на издаващите органи (AIB). Към настоящия момент Агенцията за устойчиво енергийно развитие е със статут на „наблюдател“. </w:t>
      </w:r>
    </w:p>
    <w:p w14:paraId="3B0B8D05" w14:textId="77777777" w:rsidR="0089648E" w:rsidRDefault="0089648E"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452DD50E"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9) </w:t>
      </w:r>
      <w:r w:rsidRPr="00321A4C">
        <w:rPr>
          <w:rFonts w:ascii="Times New Roman" w:hAnsi="Times New Roman" w:cs="Times New Roman"/>
          <w:i/>
          <w:iCs/>
          <w:color w:val="000000"/>
          <w:sz w:val="24"/>
          <w:szCs w:val="24"/>
        </w:rPr>
        <w:t xml:space="preserve">Оптимизиране на нормативната уредба за прилагане на завишените изисквания по Директива (ЕС) 2018/2001 по отношение на критериите за устойчивост и намаляването на емисиите на ПГ </w:t>
      </w:r>
    </w:p>
    <w:p w14:paraId="0A534491"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Закона за енергията от възобновяеми източници са извършени промени, с които се въвеждат изискванията на Директива (ЕС) 2018/2001 по отношение на критериите за устойчивост и критериите за намаление на емисиите на парникови газове. </w:t>
      </w:r>
    </w:p>
    <w:p w14:paraId="377A3748" w14:textId="77777777" w:rsidR="0083664A" w:rsidRPr="00321A4C" w:rsidRDefault="0083664A" w:rsidP="00321A4C">
      <w:pPr>
        <w:spacing w:after="0" w:line="276" w:lineRule="auto"/>
        <w:ind w:firstLine="709"/>
        <w:jc w:val="both"/>
        <w:rPr>
          <w:rFonts w:ascii="Times New Roman" w:hAnsi="Times New Roman" w:cs="Times New Roman"/>
          <w:color w:val="FF0000"/>
          <w:sz w:val="24"/>
          <w:szCs w:val="24"/>
          <w:lang w:val="en-US"/>
        </w:rPr>
      </w:pPr>
      <w:r w:rsidRPr="00321A4C">
        <w:rPr>
          <w:rFonts w:ascii="Times New Roman" w:hAnsi="Times New Roman" w:cs="Times New Roman"/>
          <w:color w:val="000000"/>
          <w:sz w:val="24"/>
          <w:szCs w:val="24"/>
        </w:rPr>
        <w:t>Предприети са действия по извършването на промени в подзаконовата нормативна уредба към Закона за енергията от възобновяеми източници, с която да се постигне пълно транспониране на изискванията по Директива (ЕС) 2018/2001 по отношение на критериите за устойчивост и за намаляване на емисиите от ПГ.</w:t>
      </w:r>
    </w:p>
    <w:p w14:paraId="66A79F5E" w14:textId="77777777" w:rsidR="0089648E" w:rsidRDefault="0089648E" w:rsidP="00321A4C">
      <w:pPr>
        <w:autoSpaceDE w:val="0"/>
        <w:autoSpaceDN w:val="0"/>
        <w:adjustRightInd w:val="0"/>
        <w:spacing w:after="0" w:line="276" w:lineRule="auto"/>
        <w:ind w:firstLine="709"/>
        <w:jc w:val="both"/>
        <w:rPr>
          <w:rFonts w:ascii="Times New Roman" w:hAnsi="Times New Roman" w:cs="Times New Roman"/>
          <w:sz w:val="24"/>
          <w:szCs w:val="24"/>
        </w:rPr>
      </w:pPr>
    </w:p>
    <w:p w14:paraId="4799CDA9"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sz w:val="24"/>
          <w:szCs w:val="24"/>
        </w:rPr>
        <w:t xml:space="preserve">10) </w:t>
      </w:r>
      <w:r w:rsidRPr="00321A4C">
        <w:rPr>
          <w:rFonts w:ascii="Times New Roman" w:hAnsi="Times New Roman" w:cs="Times New Roman"/>
          <w:i/>
          <w:iCs/>
          <w:sz w:val="24"/>
          <w:szCs w:val="24"/>
        </w:rPr>
        <w:t xml:space="preserve">Въвеждане на задължения към доставчиците на горива и електрическа енергия за изпълнението на целта в сектор транспорт </w:t>
      </w:r>
    </w:p>
    <w:p w14:paraId="7273B78A"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sz w:val="24"/>
          <w:szCs w:val="24"/>
        </w:rPr>
        <w:t xml:space="preserve">С оглед постигането на новите по-амбициозни цели ще бъдат нормативно регламентирани конкретни задължения към доставчиците на горива и енергия, които следва да предлагат на пазара конвенционални биогорива, биогорива от ново поколение, течни и газообразни горива от небиологичен произход, електрическа енергия от ВИ и рециклираните въглеродни горива. </w:t>
      </w:r>
    </w:p>
    <w:p w14:paraId="5C551F98" w14:textId="77777777" w:rsidR="0089648E" w:rsidRDefault="0089648E" w:rsidP="00321A4C">
      <w:pPr>
        <w:autoSpaceDE w:val="0"/>
        <w:autoSpaceDN w:val="0"/>
        <w:adjustRightInd w:val="0"/>
        <w:spacing w:after="0" w:line="276" w:lineRule="auto"/>
        <w:ind w:firstLine="709"/>
        <w:jc w:val="both"/>
        <w:rPr>
          <w:rFonts w:ascii="Times New Roman" w:hAnsi="Times New Roman" w:cs="Times New Roman"/>
          <w:sz w:val="24"/>
          <w:szCs w:val="24"/>
        </w:rPr>
      </w:pPr>
    </w:p>
    <w:p w14:paraId="48A9EACD"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sz w:val="24"/>
          <w:szCs w:val="24"/>
        </w:rPr>
        <w:t xml:space="preserve">11) </w:t>
      </w:r>
      <w:r w:rsidRPr="00321A4C">
        <w:rPr>
          <w:rFonts w:ascii="Times New Roman" w:hAnsi="Times New Roman" w:cs="Times New Roman"/>
          <w:i/>
          <w:iCs/>
          <w:sz w:val="24"/>
          <w:szCs w:val="24"/>
        </w:rPr>
        <w:t xml:space="preserve">Създаване на условия за развитие и използването на биогорива от ново поколение, възобновяеми течни и газообразни горива от небиологичен произход и рециклирани въглеродни горива </w:t>
      </w:r>
    </w:p>
    <w:p w14:paraId="39A1997C"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sz w:val="24"/>
          <w:szCs w:val="24"/>
        </w:rPr>
        <w:lastRenderedPageBreak/>
        <w:t xml:space="preserve">За осигуряване на необходимите количества биогорива от ново поколение, възобновяеми течни и газообразни горива от небиологичен произход и рециклирани въглеродни горива на достъпни цени за целите на Директива (ЕС) 2018/2001 ще са необходими комплексни мерки, свързани както с потреблението, така и с тяхното производство. </w:t>
      </w:r>
    </w:p>
    <w:p w14:paraId="0789E9D1"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sz w:val="24"/>
          <w:szCs w:val="24"/>
        </w:rPr>
        <w:t xml:space="preserve">В тази слабо развита и в същото време авангардна област, усилията ще бъдат насочени към приложните научни изследвания и по-широкомащабните демонстрационни дейности, свързани с усвояване на нови енергийни източници и въвеждането на технологии за тяхното оползотворяване. Необходимо е създаването на интегрирана верига за научни изследвания и нововъведения, която да обхваща елементи от приложните научни изследвания, от производството до навлизането на пазара на посочените по-горе горива. </w:t>
      </w:r>
    </w:p>
    <w:p w14:paraId="50DB9A24"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sz w:val="24"/>
          <w:szCs w:val="24"/>
        </w:rPr>
        <w:t xml:space="preserve">Също така местните власти ще разработват и прилагат схеми за насърчаване използването на енергия от ВИ, биогорива от ново поколение, възобновяеми течни и газообразни транспортни горива от небиологичен произход и рециклирани въглеродни горива в зависимост от специфичните условия в общината, в рамките на програми за насърчаване използването на енергията от ВИ и биогорива и в съответствие с приоритетите в националните програми и стратегически документи за насърчаване използването на тези горива в транспорта. </w:t>
      </w:r>
    </w:p>
    <w:p w14:paraId="13B53F28" w14:textId="77777777" w:rsidR="0089648E" w:rsidRDefault="0089648E" w:rsidP="00321A4C">
      <w:pPr>
        <w:autoSpaceDE w:val="0"/>
        <w:autoSpaceDN w:val="0"/>
        <w:adjustRightInd w:val="0"/>
        <w:spacing w:after="0" w:line="276" w:lineRule="auto"/>
        <w:ind w:firstLine="709"/>
        <w:jc w:val="both"/>
        <w:rPr>
          <w:rFonts w:ascii="Times New Roman" w:hAnsi="Times New Roman" w:cs="Times New Roman"/>
          <w:sz w:val="24"/>
          <w:szCs w:val="24"/>
        </w:rPr>
      </w:pPr>
    </w:p>
    <w:p w14:paraId="2B44A079"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sz w:val="24"/>
          <w:szCs w:val="24"/>
        </w:rPr>
        <w:t xml:space="preserve">12) </w:t>
      </w:r>
      <w:r w:rsidRPr="00321A4C">
        <w:rPr>
          <w:rFonts w:ascii="Times New Roman" w:hAnsi="Times New Roman" w:cs="Times New Roman"/>
          <w:i/>
          <w:iCs/>
          <w:sz w:val="24"/>
          <w:szCs w:val="24"/>
        </w:rPr>
        <w:t xml:space="preserve">Стимулиране развитието и разгръщането на електрическата мобилност и използване на енергия от ВИ в транспорта </w:t>
      </w:r>
    </w:p>
    <w:p w14:paraId="02CD0B9E" w14:textId="77777777" w:rsidR="0083664A" w:rsidRPr="00154913" w:rsidRDefault="0083664A" w:rsidP="00321A4C">
      <w:pPr>
        <w:spacing w:after="0" w:line="276" w:lineRule="auto"/>
        <w:ind w:firstLine="709"/>
        <w:jc w:val="both"/>
        <w:rPr>
          <w:rFonts w:ascii="Times New Roman" w:hAnsi="Times New Roman" w:cs="Times New Roman"/>
          <w:sz w:val="24"/>
          <w:szCs w:val="24"/>
          <w:lang w:val="en-US"/>
        </w:rPr>
      </w:pPr>
      <w:r w:rsidRPr="00321A4C">
        <w:rPr>
          <w:rFonts w:ascii="Times New Roman" w:hAnsi="Times New Roman" w:cs="Times New Roman"/>
          <w:sz w:val="24"/>
          <w:szCs w:val="24"/>
        </w:rPr>
        <w:t xml:space="preserve">За стимулиране развитието и разгръщането на електрическата мобилност са регламентирани отговорности към местните власти в рамките на своите дългосрочни програми да въвеждат собствени специфични мерки на своята територия, които да увеличат атрактивността от използването на този транспорт. В тези програми следва да бъдат предвидени мерки за насърчаването развитието и използването от населението на градския и железопътния електротранспорт, чрез мерки за използване на енергия от ВИ в общинския транспорт, както и на възобновяеми течни и газообразни транспортни горива от небиологичен </w:t>
      </w:r>
      <w:r w:rsidRPr="00154913">
        <w:rPr>
          <w:rFonts w:ascii="Times New Roman" w:hAnsi="Times New Roman" w:cs="Times New Roman"/>
          <w:sz w:val="24"/>
          <w:szCs w:val="24"/>
        </w:rPr>
        <w:t>произход и рециклирани горива в транспорта и схеми за подпомагане на такива проекти.</w:t>
      </w:r>
    </w:p>
    <w:p w14:paraId="0F434EB8" w14:textId="77777777" w:rsidR="0089648E" w:rsidRPr="00154913" w:rsidRDefault="0089648E" w:rsidP="00321A4C">
      <w:pPr>
        <w:autoSpaceDE w:val="0"/>
        <w:autoSpaceDN w:val="0"/>
        <w:adjustRightInd w:val="0"/>
        <w:spacing w:after="0" w:line="276" w:lineRule="auto"/>
        <w:ind w:firstLine="709"/>
        <w:jc w:val="both"/>
        <w:rPr>
          <w:rFonts w:ascii="Times New Roman" w:hAnsi="Times New Roman" w:cs="Times New Roman"/>
          <w:sz w:val="24"/>
          <w:szCs w:val="24"/>
        </w:rPr>
      </w:pPr>
    </w:p>
    <w:p w14:paraId="242FA3AB"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13) </w:t>
      </w:r>
      <w:r w:rsidRPr="00321A4C">
        <w:rPr>
          <w:rFonts w:ascii="Times New Roman" w:hAnsi="Times New Roman" w:cs="Times New Roman"/>
          <w:i/>
          <w:iCs/>
          <w:color w:val="000000"/>
          <w:sz w:val="24"/>
          <w:szCs w:val="24"/>
        </w:rPr>
        <w:t xml:space="preserve">Въвеждане на изисквания за интегриране на енергия от възобновяеми източници на регионално и местно ниво, при планирането, проектирането, изграждането и модернизирането на селищна инфраструктура, промишлени, търговски или жилищни зони и транспортна и енергийна инфраструктура, включително районни отоплителни и охладителни мрежи, газови мрежи, както и мрежи за алтернативни горива </w:t>
      </w:r>
    </w:p>
    <w:p w14:paraId="52A691CA" w14:textId="77777777" w:rsidR="0089648E" w:rsidRDefault="0089648E"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5B33D4D6" w14:textId="77777777" w:rsidR="0083664A" w:rsidRPr="0089648E" w:rsidRDefault="0083664A" w:rsidP="00321A4C">
      <w:pPr>
        <w:autoSpaceDE w:val="0"/>
        <w:autoSpaceDN w:val="0"/>
        <w:adjustRightInd w:val="0"/>
        <w:spacing w:after="0" w:line="276" w:lineRule="auto"/>
        <w:ind w:firstLine="709"/>
        <w:jc w:val="both"/>
        <w:rPr>
          <w:rFonts w:ascii="Times New Roman" w:hAnsi="Times New Roman" w:cs="Times New Roman"/>
          <w:i/>
          <w:color w:val="000000"/>
          <w:sz w:val="24"/>
          <w:szCs w:val="24"/>
        </w:rPr>
      </w:pPr>
      <w:r w:rsidRPr="0089648E">
        <w:rPr>
          <w:rFonts w:ascii="Times New Roman" w:hAnsi="Times New Roman" w:cs="Times New Roman"/>
          <w:i/>
          <w:color w:val="000000"/>
          <w:sz w:val="24"/>
          <w:szCs w:val="24"/>
        </w:rPr>
        <w:t xml:space="preserve">14) Насърчаване използването на геотермална енергия </w:t>
      </w:r>
    </w:p>
    <w:p w14:paraId="6E790981"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lastRenderedPageBreak/>
        <w:t xml:space="preserve">С оглед усвояване потенциала на този вид възобновяем енергиен източник ще се насърчи реализацията на малки по мащаб проекти за производство на топлинна енергия в централизирани и локални системи. </w:t>
      </w:r>
    </w:p>
    <w:p w14:paraId="346E8C0E"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Различни проучвания и национални стратегии показват, че България е богата на геотермални находища, от които проучените са над 840 водоизточника с температура до 103 градуса по Целзий. Регистрираните минерални извори с различен дебит и температура между 20 и 101.4 градуса са 136 броя. В същото време само 18% от геотермалната енергия на страната се използват, а разкритите минерални извори са едва 6%. </w:t>
      </w:r>
    </w:p>
    <w:p w14:paraId="0FFFC809"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Развитието на технологиите, свързани с оползотворяване на енергията, съхранявана под формата на топлина в подземните води, се развиват динамично и изискват адекватни и навременни решения, с оглед ефективното им и икономически целесъобразно използване, при съблюдаване на националните особености. </w:t>
      </w:r>
    </w:p>
    <w:p w14:paraId="62A9B7AA" w14:textId="77777777" w:rsidR="0089648E" w:rsidRDefault="0089648E"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23F7F004"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15) </w:t>
      </w:r>
      <w:r w:rsidRPr="00321A4C">
        <w:rPr>
          <w:rFonts w:ascii="Times New Roman" w:hAnsi="Times New Roman" w:cs="Times New Roman"/>
          <w:i/>
          <w:iCs/>
          <w:color w:val="000000"/>
          <w:sz w:val="24"/>
          <w:szCs w:val="24"/>
        </w:rPr>
        <w:t xml:space="preserve">Изготвяне и предоставяне за ползване на наръчник за процедурите при изграждането или реконструкцията на енергийни обекти и съоръжения за производство на енергия от възобновяеми източници </w:t>
      </w:r>
    </w:p>
    <w:p w14:paraId="79BF9B92"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Със ЗЕВИ се въвеждат задължение за изпълнителния директора на Агенция за устойчиво енергийно развитие да разработи, наръчник за процедурите при изграждането или реконструкцията на енергийни обекти и съоръжения за производство на енергия от възобновяеми източници и да го публикува на интернет страницата на агенцията. Наръчникът следва да бъде предоставен на кметовете на общините. Създадените към всяка община центрове за административно обслужване предоставят по подходящ начин наръчника за ползване от заинтересованите страни. </w:t>
      </w:r>
    </w:p>
    <w:p w14:paraId="46C0333D" w14:textId="77777777" w:rsidR="0089648E" w:rsidRDefault="0089648E"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567A8719"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16) </w:t>
      </w:r>
      <w:r w:rsidRPr="00321A4C">
        <w:rPr>
          <w:rFonts w:ascii="Times New Roman" w:hAnsi="Times New Roman" w:cs="Times New Roman"/>
          <w:i/>
          <w:iCs/>
          <w:color w:val="000000"/>
          <w:sz w:val="24"/>
          <w:szCs w:val="24"/>
        </w:rPr>
        <w:t xml:space="preserve">Изпълнение на инвестиции по Националния плана за възстановяване и устойчивост на Република България (ПВУ) по компонент 2.Б.1 „Нисковъглеродна икономика“, свързани с насърчаване използването на енергия от възобновяеми източници и системите за съхранение на енергия </w:t>
      </w:r>
    </w:p>
    <w:p w14:paraId="359D9F0D"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Инвестиция С4.I4: „Цифрова трансформация на електропреносната мрежа“ </w:t>
      </w:r>
    </w:p>
    <w:p w14:paraId="7AEB8ECF"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Инвестиция 6 (C4.I6): „Подкрепа за нови мощности за производство на електроенергия от възобновяеми източници и за съхранение на електроенергия“ </w:t>
      </w:r>
    </w:p>
    <w:p w14:paraId="39D29A47"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Инвестиция 2 „Подкрепа за енергия от възобновяеми източници за домакинствата“ </w:t>
      </w:r>
    </w:p>
    <w:p w14:paraId="5F757207"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Инвестиция 5: „Схема за подпомагане на пилотни проекти за производство на зелен водород и биогаз“ </w:t>
      </w:r>
    </w:p>
    <w:p w14:paraId="37A46763"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Схемата предвижда изграждането на 55 MW електролизьори, производството на 7 800 т зелен водород годишно, изграждането на инфраструктура, пригодна за пренос на водород и нисковъглеродни газообразни горива. Общият планиран бюджет на инвестицията е 136.9 милиона лева (68.5 милиона лева за сметка на Механизма за възстановяване и устойчивост и 68.5 милиона лева частно съфинансиране) с период на изпълнение 2022 - 2026 г. </w:t>
      </w:r>
    </w:p>
    <w:p w14:paraId="391F0992" w14:textId="77777777" w:rsidR="0089648E" w:rsidRPr="0089648E" w:rsidRDefault="0089648E" w:rsidP="00321A4C">
      <w:pPr>
        <w:autoSpaceDE w:val="0"/>
        <w:autoSpaceDN w:val="0"/>
        <w:adjustRightInd w:val="0"/>
        <w:spacing w:after="0" w:line="276" w:lineRule="auto"/>
        <w:ind w:firstLine="709"/>
        <w:jc w:val="both"/>
        <w:rPr>
          <w:rFonts w:ascii="Times New Roman" w:hAnsi="Times New Roman" w:cs="Times New Roman"/>
          <w:i/>
          <w:iCs/>
          <w:sz w:val="24"/>
          <w:szCs w:val="24"/>
        </w:rPr>
      </w:pPr>
    </w:p>
    <w:p w14:paraId="76BF0040" w14:textId="56A25651" w:rsidR="0083664A" w:rsidRPr="0089648E" w:rsidRDefault="0083664A" w:rsidP="00321A4C">
      <w:pPr>
        <w:autoSpaceDE w:val="0"/>
        <w:autoSpaceDN w:val="0"/>
        <w:adjustRightInd w:val="0"/>
        <w:spacing w:after="0" w:line="276" w:lineRule="auto"/>
        <w:ind w:firstLine="709"/>
        <w:jc w:val="both"/>
        <w:rPr>
          <w:rFonts w:ascii="Times New Roman" w:hAnsi="Times New Roman" w:cs="Times New Roman"/>
          <w:sz w:val="24"/>
          <w:szCs w:val="24"/>
        </w:rPr>
      </w:pPr>
      <w:r w:rsidRPr="0089648E">
        <w:rPr>
          <w:rFonts w:ascii="Times New Roman" w:hAnsi="Times New Roman" w:cs="Times New Roman"/>
          <w:i/>
          <w:iCs/>
          <w:sz w:val="24"/>
          <w:szCs w:val="24"/>
        </w:rPr>
        <w:t xml:space="preserve">ii. По целесъобразност, специфични мерки за регионално сътрудничество, както и при желание — очакван излишък на произведена енергия от възобновяеми източници, който може да бъде прехвърлен в други държави членки с цел да се постигнат целите за националния принос и кривите, </w:t>
      </w:r>
      <w:r w:rsidRPr="00564CF7">
        <w:rPr>
          <w:rFonts w:ascii="Times New Roman" w:hAnsi="Times New Roman" w:cs="Times New Roman"/>
          <w:i/>
          <w:iCs/>
          <w:sz w:val="24"/>
          <w:szCs w:val="24"/>
        </w:rPr>
        <w:t xml:space="preserve">представени в точка 2.1.2 </w:t>
      </w:r>
      <w:r w:rsidR="00564CF7" w:rsidRPr="00564CF7">
        <w:rPr>
          <w:rFonts w:ascii="Times New Roman" w:hAnsi="Times New Roman" w:cs="Times New Roman"/>
          <w:i/>
          <w:iCs/>
          <w:sz w:val="24"/>
          <w:szCs w:val="24"/>
        </w:rPr>
        <w:t xml:space="preserve">на </w:t>
      </w:r>
      <w:r w:rsidR="005B5EB3">
        <w:rPr>
          <w:rFonts w:ascii="Times New Roman" w:hAnsi="Times New Roman" w:cs="Times New Roman"/>
          <w:i/>
          <w:iCs/>
          <w:sz w:val="24"/>
          <w:szCs w:val="24"/>
        </w:rPr>
        <w:t>ИПЕК</w:t>
      </w:r>
      <w:r w:rsidR="00564CF7" w:rsidRPr="00564CF7">
        <w:rPr>
          <w:rFonts w:ascii="Times New Roman" w:hAnsi="Times New Roman" w:cs="Times New Roman"/>
          <w:i/>
          <w:iCs/>
          <w:sz w:val="24"/>
          <w:szCs w:val="24"/>
        </w:rPr>
        <w:t>.</w:t>
      </w:r>
    </w:p>
    <w:p w14:paraId="18798BC4"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Изпълнението на амбициозната национална цел за 2030 г. в областта на енергията от ВИ предполага използването на механизмите за сътрудничество, предвидени в Директива (ЕС) 2018/2001. В тази връзка в случай на излишък или недостиг от енергия от ВИ България ще се възползва от механизма за статистически прехвърляния. </w:t>
      </w:r>
    </w:p>
    <w:p w14:paraId="09F3A311" w14:textId="77777777" w:rsidR="0083664A"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България разглежда като възможност за изпълнение на националната си цел за дял на енергията от ВИ в брутното крайно потребление на енергия да се включи в инициативи, свързани с изпълнението на съвместни проекти с други държави членки и /или трети страни. </w:t>
      </w:r>
    </w:p>
    <w:p w14:paraId="62C373E1" w14:textId="77777777" w:rsidR="0089648E" w:rsidRPr="00321A4C" w:rsidRDefault="0089648E"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7F415B1F" w14:textId="77777777" w:rsidR="0083664A" w:rsidRPr="0089648E" w:rsidRDefault="0083664A" w:rsidP="00321A4C">
      <w:pPr>
        <w:autoSpaceDE w:val="0"/>
        <w:autoSpaceDN w:val="0"/>
        <w:adjustRightInd w:val="0"/>
        <w:spacing w:after="0" w:line="276" w:lineRule="auto"/>
        <w:ind w:firstLine="709"/>
        <w:jc w:val="both"/>
        <w:rPr>
          <w:rFonts w:ascii="Times New Roman" w:hAnsi="Times New Roman" w:cs="Times New Roman"/>
          <w:sz w:val="24"/>
          <w:szCs w:val="24"/>
        </w:rPr>
      </w:pPr>
      <w:r w:rsidRPr="0089648E">
        <w:rPr>
          <w:rFonts w:ascii="Times New Roman" w:hAnsi="Times New Roman" w:cs="Times New Roman"/>
          <w:i/>
          <w:iCs/>
          <w:sz w:val="24"/>
          <w:szCs w:val="24"/>
        </w:rPr>
        <w:t xml:space="preserve">iii. Специфични мерки за финансова подкрепа, когато е приложимо — включително подкрепа от страна на Съюза и използване на средства от фондовете на Съюза за насърчаване и използване на енергия от възобновяеми източници в електроенергетиката, отоплението и охлаждането и транспорта </w:t>
      </w:r>
    </w:p>
    <w:p w14:paraId="0951B30B"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89648E">
        <w:rPr>
          <w:rFonts w:ascii="Times New Roman" w:hAnsi="Times New Roman" w:cs="Times New Roman"/>
          <w:sz w:val="24"/>
          <w:szCs w:val="24"/>
        </w:rPr>
        <w:t>С оглед стимулиране по-широкото разгръщане на енергията от</w:t>
      </w:r>
      <w:r w:rsidRPr="00321A4C">
        <w:rPr>
          <w:rFonts w:ascii="Times New Roman" w:hAnsi="Times New Roman" w:cs="Times New Roman"/>
          <w:color w:val="000000"/>
          <w:sz w:val="24"/>
          <w:szCs w:val="24"/>
        </w:rPr>
        <w:t xml:space="preserve"> ВИ ще бъдат използвани средства от фондовете на Съюза за насърчаване и използване на енергия от възобновяеми източници за отопление и охлаждане. </w:t>
      </w:r>
    </w:p>
    <w:p w14:paraId="1E4E6D5D"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По Програма „Възобновяема енергия, енергийна ефективност, енергийна сигурност“, финансирана по Финансовия механизъм на Европейското икономическо пространство с общ бюджет в размер на близо 33 млн. евро ще бъдат финансирани проекти свързани с подобряване на енергийната ефективност и използването на енергия от ВИ. </w:t>
      </w:r>
    </w:p>
    <w:p w14:paraId="41C63D63"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резултат от изпълнението на тези мерки се предвижда реализация на проекти за производство на електрическа енергия, топлинна енергия и енергия за охлаждане от ВИ в размер на 46 000 MWh/годишно и годишни намаления на емисиите на CO2 от 54 280 tCO2. </w:t>
      </w:r>
    </w:p>
    <w:p w14:paraId="6D2DC612" w14:textId="77777777" w:rsidR="0083664A" w:rsidRPr="00321A4C" w:rsidRDefault="0083664A" w:rsidP="00CE6E9E">
      <w:pPr>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В периода 2021-2030 г. България ще се възползва от инвестиционната подкрепа, която ще се предоставя по „Модернизационен фонд“, като ще разгледа възможността</w:t>
      </w:r>
      <w:r w:rsidR="00CE6E9E">
        <w:rPr>
          <w:rFonts w:ascii="Times New Roman" w:hAnsi="Times New Roman" w:cs="Times New Roman"/>
          <w:color w:val="000000"/>
          <w:sz w:val="24"/>
          <w:szCs w:val="24"/>
        </w:rPr>
        <w:t xml:space="preserve"> </w:t>
      </w:r>
      <w:r w:rsidRPr="00321A4C">
        <w:rPr>
          <w:rFonts w:ascii="Times New Roman" w:hAnsi="Times New Roman" w:cs="Times New Roman"/>
          <w:color w:val="000000"/>
          <w:sz w:val="24"/>
          <w:szCs w:val="24"/>
        </w:rPr>
        <w:t xml:space="preserve">за финансиране на проекти, свързани с производството на електрическа енергия от ВИ, подобряване на енергийната ефективност, съхраняване на енергия и модернизиране на енергийните мрежи. Фондът ще се създаде на основание чл. 10г на Директива (ЕС) 2018/410 на Европейския парламент и на Съвета от 14 март 2018 г. за изменение на Директива 2003/87/ЕО с цел засилване на разходоефективните намаления на емисии и на нисковъглеродните инвестиции, и на Решение (ЕС) 2015/1814. В периода 2021-2030 г. 2% от общото количество квоти на ЕС ще бъдат продавани на търг и средствата постъпват в Модернизационния фонд, съгласно член 10, параграф 1 от Директива (ЕС) 2018/410 на Европейския парламент и на Съвета за изменение на Директива 2003/87/ЕО с цел засилване на разходоефективните намаления на емисии и на нисковъглеродните инвестиции, и на Решение (ЕС) 2015/1814. </w:t>
      </w:r>
    </w:p>
    <w:p w14:paraId="7ED273F2" w14:textId="77777777" w:rsidR="0083664A" w:rsidRPr="0089648E" w:rsidRDefault="0083664A" w:rsidP="00321A4C">
      <w:pPr>
        <w:autoSpaceDE w:val="0"/>
        <w:autoSpaceDN w:val="0"/>
        <w:adjustRightInd w:val="0"/>
        <w:spacing w:after="0" w:line="276" w:lineRule="auto"/>
        <w:ind w:firstLine="709"/>
        <w:jc w:val="both"/>
        <w:rPr>
          <w:rFonts w:ascii="Times New Roman" w:hAnsi="Times New Roman" w:cs="Times New Roman"/>
          <w:sz w:val="24"/>
          <w:szCs w:val="24"/>
        </w:rPr>
      </w:pPr>
      <w:r w:rsidRPr="0089648E">
        <w:rPr>
          <w:rFonts w:ascii="Times New Roman" w:hAnsi="Times New Roman" w:cs="Times New Roman"/>
          <w:i/>
          <w:iCs/>
          <w:sz w:val="24"/>
          <w:szCs w:val="24"/>
        </w:rPr>
        <w:lastRenderedPageBreak/>
        <w:t xml:space="preserve">iv. Когато е приложимо, оценка на подкрепата за електроенергия от възобновяеми източници, която държавите членки трябва да извършат съгласно член 6, параграф 4 от Директива (ЕС) 2018/2001 </w:t>
      </w:r>
    </w:p>
    <w:p w14:paraId="6AB714EE" w14:textId="77777777" w:rsidR="0083664A" w:rsidRPr="00CE6E9E" w:rsidRDefault="0083664A" w:rsidP="00321A4C">
      <w:pPr>
        <w:autoSpaceDE w:val="0"/>
        <w:autoSpaceDN w:val="0"/>
        <w:adjustRightInd w:val="0"/>
        <w:spacing w:after="0" w:line="276" w:lineRule="auto"/>
        <w:ind w:firstLine="709"/>
        <w:jc w:val="both"/>
        <w:rPr>
          <w:rFonts w:ascii="Times New Roman" w:hAnsi="Times New Roman" w:cs="Times New Roman"/>
          <w:b/>
          <w:sz w:val="24"/>
          <w:szCs w:val="24"/>
        </w:rPr>
      </w:pPr>
      <w:r w:rsidRPr="00CE6E9E">
        <w:rPr>
          <w:rFonts w:ascii="Times New Roman" w:hAnsi="Times New Roman" w:cs="Times New Roman"/>
          <w:b/>
          <w:i/>
          <w:iCs/>
          <w:sz w:val="24"/>
          <w:szCs w:val="24"/>
        </w:rPr>
        <w:t xml:space="preserve">Не е приложимо </w:t>
      </w:r>
    </w:p>
    <w:p w14:paraId="0CAADEC8" w14:textId="77777777" w:rsidR="0089648E" w:rsidRPr="0089648E" w:rsidRDefault="0089648E" w:rsidP="00321A4C">
      <w:pPr>
        <w:autoSpaceDE w:val="0"/>
        <w:autoSpaceDN w:val="0"/>
        <w:adjustRightInd w:val="0"/>
        <w:spacing w:after="0" w:line="276" w:lineRule="auto"/>
        <w:ind w:firstLine="709"/>
        <w:jc w:val="both"/>
        <w:rPr>
          <w:rFonts w:ascii="Times New Roman" w:hAnsi="Times New Roman" w:cs="Times New Roman"/>
          <w:i/>
          <w:iCs/>
          <w:sz w:val="24"/>
          <w:szCs w:val="24"/>
        </w:rPr>
      </w:pPr>
    </w:p>
    <w:p w14:paraId="12315CDA" w14:textId="77777777" w:rsidR="0083664A" w:rsidRPr="0089648E" w:rsidRDefault="0083664A" w:rsidP="00321A4C">
      <w:pPr>
        <w:autoSpaceDE w:val="0"/>
        <w:autoSpaceDN w:val="0"/>
        <w:adjustRightInd w:val="0"/>
        <w:spacing w:after="0" w:line="276" w:lineRule="auto"/>
        <w:ind w:firstLine="709"/>
        <w:jc w:val="both"/>
        <w:rPr>
          <w:rFonts w:ascii="Times New Roman" w:hAnsi="Times New Roman" w:cs="Times New Roman"/>
          <w:sz w:val="24"/>
          <w:szCs w:val="24"/>
        </w:rPr>
      </w:pPr>
      <w:r w:rsidRPr="0089648E">
        <w:rPr>
          <w:rFonts w:ascii="Times New Roman" w:hAnsi="Times New Roman" w:cs="Times New Roman"/>
          <w:i/>
          <w:iCs/>
          <w:sz w:val="24"/>
          <w:szCs w:val="24"/>
        </w:rPr>
        <w:t xml:space="preserve">v. Специфични мерки за въвеждане на една или повече точки за контакт, рационализиране на процедурите, осигуряване на информация и обучение, както и улесняване на прилагането на споразумения за покупка на електроенергия </w:t>
      </w:r>
    </w:p>
    <w:p w14:paraId="0AC3C189" w14:textId="77777777" w:rsidR="0083664A" w:rsidRPr="0089648E" w:rsidRDefault="0083664A" w:rsidP="00321A4C">
      <w:pPr>
        <w:autoSpaceDE w:val="0"/>
        <w:autoSpaceDN w:val="0"/>
        <w:adjustRightInd w:val="0"/>
        <w:spacing w:after="0" w:line="276" w:lineRule="auto"/>
        <w:ind w:firstLine="709"/>
        <w:jc w:val="both"/>
        <w:rPr>
          <w:rFonts w:ascii="Times New Roman" w:hAnsi="Times New Roman" w:cs="Times New Roman"/>
          <w:sz w:val="24"/>
          <w:szCs w:val="24"/>
        </w:rPr>
      </w:pPr>
      <w:r w:rsidRPr="0089648E">
        <w:rPr>
          <w:rFonts w:ascii="Times New Roman" w:hAnsi="Times New Roman" w:cs="Times New Roman"/>
          <w:i/>
          <w:iCs/>
          <w:sz w:val="24"/>
          <w:szCs w:val="24"/>
        </w:rPr>
        <w:t xml:space="preserve">Обобщение на политиките и мерките съобразно благоприятната рамка, която държавите членки трябва да въведат в съответствие с член 21, параграф 6 и член 22, параграф 5 от Директива (ЕС) 2018/2001 за насърчаване и улесняване на развитието на възобновяеми източници на собствена енергия и на общности, свързани с възобновяема енергията </w:t>
      </w:r>
    </w:p>
    <w:p w14:paraId="12E449F0" w14:textId="77777777" w:rsidR="0089648E" w:rsidRPr="00321A4C" w:rsidRDefault="0089648E"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5AF53342" w14:textId="77777777" w:rsidR="0083664A" w:rsidRPr="0089648E" w:rsidRDefault="0083664A" w:rsidP="00321A4C">
      <w:pPr>
        <w:autoSpaceDE w:val="0"/>
        <w:autoSpaceDN w:val="0"/>
        <w:adjustRightInd w:val="0"/>
        <w:spacing w:after="0" w:line="276" w:lineRule="auto"/>
        <w:ind w:firstLine="709"/>
        <w:jc w:val="both"/>
        <w:rPr>
          <w:rFonts w:ascii="Times New Roman" w:hAnsi="Times New Roman" w:cs="Times New Roman"/>
          <w:sz w:val="24"/>
          <w:szCs w:val="24"/>
        </w:rPr>
      </w:pPr>
      <w:r w:rsidRPr="0089648E">
        <w:rPr>
          <w:rFonts w:ascii="Times New Roman" w:hAnsi="Times New Roman" w:cs="Times New Roman"/>
          <w:i/>
          <w:iCs/>
          <w:sz w:val="24"/>
          <w:szCs w:val="24"/>
        </w:rPr>
        <w:t xml:space="preserve">vi. Оценка на необходимостта от изграждане на нова инфраструктура за районно отопление и охлаждане, получени от възобновяеми източници </w:t>
      </w:r>
    </w:p>
    <w:p w14:paraId="0BBC583A" w14:textId="77777777" w:rsidR="00CE6E9E" w:rsidRDefault="00CE6E9E" w:rsidP="00321A4C">
      <w:pPr>
        <w:pStyle w:val="Default"/>
        <w:spacing w:line="276" w:lineRule="auto"/>
        <w:ind w:firstLine="709"/>
        <w:jc w:val="both"/>
        <w:rPr>
          <w:lang w:val="bg-BG"/>
        </w:rPr>
      </w:pPr>
    </w:p>
    <w:p w14:paraId="5391561A" w14:textId="77777777" w:rsidR="0083664A" w:rsidRPr="0089648E" w:rsidRDefault="0083664A" w:rsidP="00321A4C">
      <w:pPr>
        <w:autoSpaceDE w:val="0"/>
        <w:autoSpaceDN w:val="0"/>
        <w:adjustRightInd w:val="0"/>
        <w:spacing w:after="0" w:line="276" w:lineRule="auto"/>
        <w:ind w:firstLine="709"/>
        <w:jc w:val="both"/>
        <w:rPr>
          <w:rFonts w:ascii="Times New Roman" w:hAnsi="Times New Roman" w:cs="Times New Roman"/>
          <w:sz w:val="24"/>
          <w:szCs w:val="24"/>
        </w:rPr>
      </w:pPr>
      <w:r w:rsidRPr="0089648E">
        <w:rPr>
          <w:rFonts w:ascii="Times New Roman" w:hAnsi="Times New Roman" w:cs="Times New Roman"/>
          <w:i/>
          <w:iCs/>
          <w:sz w:val="24"/>
          <w:szCs w:val="24"/>
        </w:rPr>
        <w:t xml:space="preserve">vii. Ако е приложимо, специфични мерки за насърчаване на използването на енергия от биомаса, особено за мобилизирането на нови ресурси от биомаса, като се взема предвид: </w:t>
      </w:r>
    </w:p>
    <w:p w14:paraId="09A103A8" w14:textId="77777777" w:rsidR="0083664A" w:rsidRPr="0089648E" w:rsidRDefault="0083664A" w:rsidP="00321A4C">
      <w:pPr>
        <w:autoSpaceDE w:val="0"/>
        <w:autoSpaceDN w:val="0"/>
        <w:adjustRightInd w:val="0"/>
        <w:spacing w:after="0" w:line="276" w:lineRule="auto"/>
        <w:ind w:firstLine="709"/>
        <w:jc w:val="both"/>
        <w:rPr>
          <w:rFonts w:ascii="Times New Roman" w:hAnsi="Times New Roman" w:cs="Times New Roman"/>
          <w:sz w:val="24"/>
          <w:szCs w:val="24"/>
        </w:rPr>
      </w:pPr>
      <w:r w:rsidRPr="0089648E">
        <w:rPr>
          <w:rFonts w:ascii="Times New Roman" w:hAnsi="Times New Roman" w:cs="Times New Roman"/>
          <w:sz w:val="24"/>
          <w:szCs w:val="24"/>
        </w:rPr>
        <w:t xml:space="preserve">– </w:t>
      </w:r>
      <w:r w:rsidRPr="0089648E">
        <w:rPr>
          <w:rFonts w:ascii="Times New Roman" w:hAnsi="Times New Roman" w:cs="Times New Roman"/>
          <w:i/>
          <w:iCs/>
          <w:sz w:val="24"/>
          <w:szCs w:val="24"/>
        </w:rPr>
        <w:t xml:space="preserve">наличието на ресурси от биомаса, включително устойчива биомаса: потенциалът за собствено производство и внос от трети страни </w:t>
      </w:r>
    </w:p>
    <w:p w14:paraId="01160034" w14:textId="77777777" w:rsidR="0083664A" w:rsidRPr="0089648E" w:rsidRDefault="0083664A" w:rsidP="00321A4C">
      <w:pPr>
        <w:autoSpaceDE w:val="0"/>
        <w:autoSpaceDN w:val="0"/>
        <w:adjustRightInd w:val="0"/>
        <w:spacing w:after="0" w:line="276" w:lineRule="auto"/>
        <w:ind w:firstLine="709"/>
        <w:jc w:val="both"/>
        <w:rPr>
          <w:rFonts w:ascii="Times New Roman" w:hAnsi="Times New Roman" w:cs="Times New Roman"/>
          <w:sz w:val="24"/>
          <w:szCs w:val="24"/>
        </w:rPr>
      </w:pPr>
      <w:r w:rsidRPr="0089648E">
        <w:rPr>
          <w:rFonts w:ascii="Times New Roman" w:hAnsi="Times New Roman" w:cs="Times New Roman"/>
          <w:i/>
          <w:iCs/>
          <w:sz w:val="24"/>
          <w:szCs w:val="24"/>
        </w:rPr>
        <w:t xml:space="preserve">– други видове употреба на биомаса в други сектори (селско стопанство и секторите във връзка с горското стопанство); както и мерки за осигуряване на устойчивостта на добива и употребата на биомаса </w:t>
      </w:r>
    </w:p>
    <w:p w14:paraId="441278E6" w14:textId="77777777" w:rsidR="0089648E" w:rsidRPr="0089648E" w:rsidRDefault="0089648E" w:rsidP="00321A4C">
      <w:pPr>
        <w:autoSpaceDE w:val="0"/>
        <w:autoSpaceDN w:val="0"/>
        <w:adjustRightInd w:val="0"/>
        <w:spacing w:after="0" w:line="276" w:lineRule="auto"/>
        <w:ind w:firstLine="709"/>
        <w:jc w:val="both"/>
        <w:rPr>
          <w:rFonts w:ascii="Times New Roman" w:hAnsi="Times New Roman" w:cs="Times New Roman"/>
          <w:sz w:val="24"/>
          <w:szCs w:val="24"/>
        </w:rPr>
      </w:pPr>
    </w:p>
    <w:p w14:paraId="13B4D744" w14:textId="77777777" w:rsidR="0083664A" w:rsidRPr="0089648E" w:rsidRDefault="0083664A" w:rsidP="00321A4C">
      <w:pPr>
        <w:autoSpaceDE w:val="0"/>
        <w:autoSpaceDN w:val="0"/>
        <w:adjustRightInd w:val="0"/>
        <w:spacing w:after="0" w:line="276" w:lineRule="auto"/>
        <w:ind w:firstLine="709"/>
        <w:jc w:val="both"/>
        <w:rPr>
          <w:rFonts w:ascii="Times New Roman" w:hAnsi="Times New Roman" w:cs="Times New Roman"/>
          <w:b/>
          <w:sz w:val="24"/>
          <w:szCs w:val="24"/>
        </w:rPr>
      </w:pPr>
      <w:r w:rsidRPr="0089648E">
        <w:rPr>
          <w:rFonts w:ascii="Times New Roman" w:hAnsi="Times New Roman" w:cs="Times New Roman"/>
          <w:b/>
          <w:sz w:val="24"/>
          <w:szCs w:val="24"/>
        </w:rPr>
        <w:t xml:space="preserve">Други елементи на измерението </w:t>
      </w:r>
    </w:p>
    <w:p w14:paraId="1BB30420" w14:textId="77777777" w:rsidR="0083664A" w:rsidRPr="0089648E" w:rsidRDefault="0083664A" w:rsidP="00321A4C">
      <w:pPr>
        <w:autoSpaceDE w:val="0"/>
        <w:autoSpaceDN w:val="0"/>
        <w:adjustRightInd w:val="0"/>
        <w:spacing w:after="0" w:line="276" w:lineRule="auto"/>
        <w:ind w:firstLine="709"/>
        <w:jc w:val="both"/>
        <w:rPr>
          <w:rFonts w:ascii="Times New Roman" w:hAnsi="Times New Roman" w:cs="Times New Roman"/>
          <w:sz w:val="24"/>
          <w:szCs w:val="24"/>
        </w:rPr>
      </w:pPr>
      <w:r w:rsidRPr="0089648E">
        <w:rPr>
          <w:rFonts w:ascii="Times New Roman" w:hAnsi="Times New Roman" w:cs="Times New Roman"/>
          <w:i/>
          <w:iCs/>
          <w:sz w:val="24"/>
          <w:szCs w:val="24"/>
        </w:rPr>
        <w:t xml:space="preserve">i. Когато е приложимо, националните политики и мерки, засягащи сектора на Схемата за търговия с емисии (СТЕ) на ЕС и оценката на взаимната допълняемост и въздействието на СТЕ на ЕС </w:t>
      </w:r>
    </w:p>
    <w:p w14:paraId="3DB210D9" w14:textId="77777777" w:rsidR="0083664A" w:rsidRPr="0089648E" w:rsidRDefault="0083664A" w:rsidP="00321A4C">
      <w:pPr>
        <w:autoSpaceDE w:val="0"/>
        <w:autoSpaceDN w:val="0"/>
        <w:adjustRightInd w:val="0"/>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color w:val="000000"/>
          <w:sz w:val="24"/>
          <w:szCs w:val="24"/>
        </w:rPr>
        <w:t xml:space="preserve">България ще се възползва от възможността за безплатно разпределение на квоти на емисии на ПГ на инсталации за производство на електрическа енергия в периода 2021-2030 г. с цел модернизация на енергийния сектор в съответствие с чл. 10в от ДИРЕКТИВА (ЕС) 2018/410 НА ЕВРОПЕЙСКИЯ ПАРЛАМЕНТ И НА СЪВЕТА от 14 март 2018 г. за изменение на Директива 2003/87/ЕО с цел засилване на разходоефективните намаления на емисии и на нисковъглеродните инвестиции </w:t>
      </w:r>
      <w:r w:rsidRPr="0089648E">
        <w:rPr>
          <w:rFonts w:ascii="Times New Roman" w:hAnsi="Times New Roman" w:cs="Times New Roman"/>
          <w:sz w:val="24"/>
          <w:szCs w:val="24"/>
        </w:rPr>
        <w:t xml:space="preserve">и на Решение (ЕС) 2015/1814. </w:t>
      </w:r>
    </w:p>
    <w:p w14:paraId="733D2AC6" w14:textId="77777777" w:rsidR="0083664A" w:rsidRPr="0089648E" w:rsidRDefault="0083664A" w:rsidP="00321A4C">
      <w:pPr>
        <w:spacing w:after="0" w:line="276" w:lineRule="auto"/>
        <w:ind w:firstLine="709"/>
        <w:jc w:val="both"/>
        <w:rPr>
          <w:rFonts w:ascii="Times New Roman" w:hAnsi="Times New Roman" w:cs="Times New Roman"/>
          <w:sz w:val="24"/>
          <w:szCs w:val="24"/>
          <w:lang w:val="en-US"/>
        </w:rPr>
      </w:pPr>
      <w:r w:rsidRPr="0089648E">
        <w:rPr>
          <w:rFonts w:ascii="Times New Roman" w:hAnsi="Times New Roman" w:cs="Times New Roman"/>
          <w:sz w:val="24"/>
          <w:szCs w:val="24"/>
        </w:rPr>
        <w:t>Предвижда да бъдат разработени:</w:t>
      </w:r>
    </w:p>
    <w:p w14:paraId="0C9ED4E2"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sz w:val="24"/>
          <w:szCs w:val="24"/>
        </w:rPr>
      </w:pPr>
      <w:r w:rsidRPr="0089648E">
        <w:rPr>
          <w:rFonts w:ascii="Times New Roman" w:hAnsi="Times New Roman" w:cs="Times New Roman"/>
          <w:sz w:val="24"/>
          <w:szCs w:val="24"/>
        </w:rPr>
        <w:t>• критерии за подбор на проектите с общ размер на планираните инвестиции под 12.5 милиона евро, въз основа на които ще</w:t>
      </w:r>
      <w:r w:rsidRPr="00321A4C">
        <w:rPr>
          <w:rFonts w:ascii="Times New Roman" w:hAnsi="Times New Roman" w:cs="Times New Roman"/>
          <w:sz w:val="24"/>
          <w:szCs w:val="24"/>
        </w:rPr>
        <w:t xml:space="preserve"> бъде съставен Списък на инвестициите, финансирани чрез безплатно разпределение на квоти за емисии на ПГ в периода 2021-2030 г. </w:t>
      </w:r>
    </w:p>
    <w:p w14:paraId="4459ABC2"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sz w:val="24"/>
          <w:szCs w:val="24"/>
        </w:rPr>
        <w:lastRenderedPageBreak/>
        <w:t xml:space="preserve">• правила за провеждане на състезателна тръжна процедура за подбор на проектите с общ размер на планираните инвестиции над 12.5 милиона евро, които ще се финансират чрез безплатно разпределение на квоти за емисии на парникови газове в периода 2021-2030 г. </w:t>
      </w:r>
    </w:p>
    <w:p w14:paraId="3F1EFA28"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sz w:val="24"/>
          <w:szCs w:val="24"/>
        </w:rPr>
        <w:t xml:space="preserve">• промени в Закона за енергетиката. </w:t>
      </w:r>
    </w:p>
    <w:p w14:paraId="226FB1B7" w14:textId="77777777" w:rsidR="0089648E" w:rsidRPr="0089648E" w:rsidRDefault="0089648E" w:rsidP="00321A4C">
      <w:pPr>
        <w:autoSpaceDE w:val="0"/>
        <w:autoSpaceDN w:val="0"/>
        <w:adjustRightInd w:val="0"/>
        <w:spacing w:after="0" w:line="276" w:lineRule="auto"/>
        <w:ind w:firstLine="709"/>
        <w:jc w:val="both"/>
        <w:rPr>
          <w:rFonts w:ascii="Times New Roman" w:hAnsi="Times New Roman" w:cs="Times New Roman"/>
          <w:i/>
          <w:iCs/>
          <w:sz w:val="24"/>
          <w:szCs w:val="24"/>
        </w:rPr>
      </w:pPr>
    </w:p>
    <w:p w14:paraId="32018383" w14:textId="77777777" w:rsidR="0083664A" w:rsidRPr="0089648E" w:rsidRDefault="0083664A" w:rsidP="00321A4C">
      <w:pPr>
        <w:autoSpaceDE w:val="0"/>
        <w:autoSpaceDN w:val="0"/>
        <w:adjustRightInd w:val="0"/>
        <w:spacing w:after="0" w:line="276" w:lineRule="auto"/>
        <w:ind w:firstLine="709"/>
        <w:jc w:val="both"/>
        <w:rPr>
          <w:rFonts w:ascii="Times New Roman" w:hAnsi="Times New Roman" w:cs="Times New Roman"/>
          <w:sz w:val="24"/>
          <w:szCs w:val="24"/>
        </w:rPr>
      </w:pPr>
      <w:r w:rsidRPr="0089648E">
        <w:rPr>
          <w:rFonts w:ascii="Times New Roman" w:hAnsi="Times New Roman" w:cs="Times New Roman"/>
          <w:i/>
          <w:iCs/>
          <w:sz w:val="24"/>
          <w:szCs w:val="24"/>
        </w:rPr>
        <w:t xml:space="preserve">ii. Политики и мерки за постигане на други национални цели, ако е приложимо </w:t>
      </w:r>
    </w:p>
    <w:p w14:paraId="7F1EFDBF" w14:textId="77777777" w:rsidR="0083664A" w:rsidRPr="00CE6E9E" w:rsidRDefault="0083664A" w:rsidP="00321A4C">
      <w:pPr>
        <w:autoSpaceDE w:val="0"/>
        <w:autoSpaceDN w:val="0"/>
        <w:adjustRightInd w:val="0"/>
        <w:spacing w:after="0" w:line="276" w:lineRule="auto"/>
        <w:ind w:firstLine="709"/>
        <w:jc w:val="both"/>
        <w:rPr>
          <w:rFonts w:ascii="Times New Roman" w:hAnsi="Times New Roman" w:cs="Times New Roman"/>
          <w:b/>
          <w:sz w:val="24"/>
          <w:szCs w:val="24"/>
        </w:rPr>
      </w:pPr>
      <w:r w:rsidRPr="00CE6E9E">
        <w:rPr>
          <w:rFonts w:ascii="Times New Roman" w:hAnsi="Times New Roman" w:cs="Times New Roman"/>
          <w:b/>
          <w:i/>
          <w:iCs/>
          <w:sz w:val="24"/>
          <w:szCs w:val="24"/>
        </w:rPr>
        <w:t xml:space="preserve">Не е приложимо </w:t>
      </w:r>
    </w:p>
    <w:p w14:paraId="62F97B53" w14:textId="77777777" w:rsidR="0089648E" w:rsidRPr="0089648E" w:rsidRDefault="0089648E" w:rsidP="00321A4C">
      <w:pPr>
        <w:autoSpaceDE w:val="0"/>
        <w:autoSpaceDN w:val="0"/>
        <w:adjustRightInd w:val="0"/>
        <w:spacing w:after="0" w:line="276" w:lineRule="auto"/>
        <w:ind w:firstLine="709"/>
        <w:jc w:val="both"/>
        <w:rPr>
          <w:rFonts w:ascii="Times New Roman" w:hAnsi="Times New Roman" w:cs="Times New Roman"/>
          <w:i/>
          <w:iCs/>
          <w:sz w:val="24"/>
          <w:szCs w:val="24"/>
        </w:rPr>
      </w:pPr>
    </w:p>
    <w:p w14:paraId="17FD1192" w14:textId="77777777" w:rsidR="0083664A" w:rsidRPr="0089648E" w:rsidRDefault="0083664A" w:rsidP="00321A4C">
      <w:pPr>
        <w:autoSpaceDE w:val="0"/>
        <w:autoSpaceDN w:val="0"/>
        <w:adjustRightInd w:val="0"/>
        <w:spacing w:after="0" w:line="276" w:lineRule="auto"/>
        <w:ind w:firstLine="709"/>
        <w:jc w:val="both"/>
        <w:rPr>
          <w:rFonts w:ascii="Times New Roman" w:hAnsi="Times New Roman" w:cs="Times New Roman"/>
          <w:sz w:val="24"/>
          <w:szCs w:val="24"/>
        </w:rPr>
      </w:pPr>
      <w:r w:rsidRPr="0089648E">
        <w:rPr>
          <w:rFonts w:ascii="Times New Roman" w:hAnsi="Times New Roman" w:cs="Times New Roman"/>
          <w:i/>
          <w:iCs/>
          <w:sz w:val="24"/>
          <w:szCs w:val="24"/>
        </w:rPr>
        <w:t xml:space="preserve">iii. Политики и мерки за постигане на мобилност с ниски емисии (включително електрификацията на транспорта) </w:t>
      </w:r>
    </w:p>
    <w:p w14:paraId="6297CF86"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Един от основните приоритети на националната транспортна политика е развитието на железопътния транспорт. Той е един от най-устойчивите и безопасни видове транспорт. До 2030 г. ще продължи изграждането и модернизацията на железопътната инфраструктура, предвижда се изграждане на жп връзки с летищата, развитие на жп възли, реконструкция на ключови гарови комплекси, както и изграждане на интермодални терминали. Ще продължи внедряването на Европейската система за управление на железопътния трафик (ERTMS) по жп линии. </w:t>
      </w:r>
    </w:p>
    <w:p w14:paraId="75013E70"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По линия на Националния план за възстановяване и устойчивост (НПВУ) се предвижда доставка и поддръжка на железопътен подвижен състав (35 бр. едноетажни електрически мотрисни влака, 7 бр. двуетажни електрически мотрисни влака, 20 бр. едноетажни електрически влака тип „push – pull” и 18 бр. електрически маневрени локомотиви); доставка на бордово оборудване за 108 електрически локомотива и мотрисни влака; изграждане на Интермодален терминал в Русе и внедряване на ERTMS Ниво 2 в участъка Русе – Каспичан. </w:t>
      </w:r>
    </w:p>
    <w:p w14:paraId="4BC54B11" w14:textId="77777777" w:rsidR="0083664A" w:rsidRPr="00321A4C" w:rsidRDefault="0083664A"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Ще продължи и разширението на софийското метро. </w:t>
      </w:r>
    </w:p>
    <w:p w14:paraId="6ADDB918" w14:textId="77777777" w:rsidR="0089648E" w:rsidRPr="0089648E" w:rsidRDefault="0089648E" w:rsidP="00321A4C">
      <w:pPr>
        <w:autoSpaceDE w:val="0"/>
        <w:autoSpaceDN w:val="0"/>
        <w:adjustRightInd w:val="0"/>
        <w:spacing w:after="0" w:line="276" w:lineRule="auto"/>
        <w:ind w:firstLine="709"/>
        <w:jc w:val="both"/>
        <w:rPr>
          <w:rFonts w:ascii="Times New Roman" w:hAnsi="Times New Roman" w:cs="Times New Roman"/>
          <w:i/>
          <w:iCs/>
          <w:sz w:val="24"/>
          <w:szCs w:val="24"/>
        </w:rPr>
      </w:pPr>
    </w:p>
    <w:p w14:paraId="5712B977" w14:textId="77777777" w:rsidR="0083664A" w:rsidRPr="0089648E" w:rsidRDefault="0083664A" w:rsidP="00321A4C">
      <w:pPr>
        <w:autoSpaceDE w:val="0"/>
        <w:autoSpaceDN w:val="0"/>
        <w:adjustRightInd w:val="0"/>
        <w:spacing w:after="0" w:line="276" w:lineRule="auto"/>
        <w:ind w:firstLine="709"/>
        <w:jc w:val="both"/>
        <w:rPr>
          <w:rFonts w:ascii="Times New Roman" w:hAnsi="Times New Roman" w:cs="Times New Roman"/>
          <w:sz w:val="24"/>
          <w:szCs w:val="24"/>
        </w:rPr>
      </w:pPr>
      <w:r w:rsidRPr="0089648E">
        <w:rPr>
          <w:rFonts w:ascii="Times New Roman" w:hAnsi="Times New Roman" w:cs="Times New Roman"/>
          <w:i/>
          <w:iCs/>
          <w:sz w:val="24"/>
          <w:szCs w:val="24"/>
        </w:rPr>
        <w:t xml:space="preserve">iv. Когато е приложимо, планирани национални политики, крайни срокове и мерки за постепенно премахване на енергийните субсидии, по-специално по отношение на изкопаемите горива </w:t>
      </w:r>
    </w:p>
    <w:p w14:paraId="0461EBDE" w14:textId="77777777" w:rsidR="0083664A" w:rsidRPr="0089648E" w:rsidRDefault="0083664A" w:rsidP="00321A4C">
      <w:pPr>
        <w:spacing w:after="0" w:line="276" w:lineRule="auto"/>
        <w:ind w:firstLine="709"/>
        <w:jc w:val="both"/>
        <w:rPr>
          <w:rFonts w:ascii="Times New Roman" w:hAnsi="Times New Roman" w:cs="Times New Roman"/>
          <w:b/>
          <w:sz w:val="24"/>
          <w:szCs w:val="24"/>
          <w:lang w:val="en-US"/>
        </w:rPr>
      </w:pPr>
      <w:r w:rsidRPr="0089648E">
        <w:rPr>
          <w:rFonts w:ascii="Times New Roman" w:hAnsi="Times New Roman" w:cs="Times New Roman"/>
          <w:b/>
          <w:i/>
          <w:iCs/>
          <w:sz w:val="24"/>
          <w:szCs w:val="24"/>
        </w:rPr>
        <w:t>Не е приложимо</w:t>
      </w:r>
    </w:p>
    <w:p w14:paraId="3BA24AC3" w14:textId="77777777" w:rsidR="0083664A" w:rsidRPr="0089648E" w:rsidRDefault="0083664A" w:rsidP="00321A4C">
      <w:pPr>
        <w:spacing w:after="0" w:line="276" w:lineRule="auto"/>
        <w:ind w:firstLine="709"/>
        <w:jc w:val="both"/>
        <w:rPr>
          <w:rFonts w:ascii="Times New Roman" w:hAnsi="Times New Roman" w:cs="Times New Roman"/>
          <w:sz w:val="24"/>
          <w:szCs w:val="24"/>
          <w:lang w:val="en-US"/>
        </w:rPr>
      </w:pPr>
    </w:p>
    <w:p w14:paraId="5C1AEDA2" w14:textId="77777777" w:rsidR="00741F81" w:rsidRPr="0089648E" w:rsidRDefault="00741F81" w:rsidP="0089648E">
      <w:pPr>
        <w:shd w:val="clear" w:color="auto" w:fill="FBE4D5" w:themeFill="accent2" w:themeFillTint="33"/>
        <w:autoSpaceDE w:val="0"/>
        <w:autoSpaceDN w:val="0"/>
        <w:adjustRightInd w:val="0"/>
        <w:spacing w:after="0" w:line="276" w:lineRule="auto"/>
        <w:ind w:firstLine="709"/>
        <w:jc w:val="both"/>
        <w:rPr>
          <w:rFonts w:ascii="Times New Roman" w:hAnsi="Times New Roman" w:cs="Times New Roman"/>
          <w:sz w:val="24"/>
          <w:szCs w:val="24"/>
        </w:rPr>
      </w:pPr>
      <w:r w:rsidRPr="0089648E">
        <w:rPr>
          <w:rFonts w:ascii="Times New Roman" w:hAnsi="Times New Roman" w:cs="Times New Roman"/>
          <w:b/>
          <w:bCs/>
          <w:sz w:val="24"/>
          <w:szCs w:val="24"/>
        </w:rPr>
        <w:t xml:space="preserve">Измерение „Енергийна ефективност“ </w:t>
      </w:r>
    </w:p>
    <w:p w14:paraId="101B550B" w14:textId="77777777" w:rsidR="00741F81" w:rsidRPr="0089648E" w:rsidRDefault="00741F81" w:rsidP="00F96654">
      <w:pPr>
        <w:autoSpaceDE w:val="0"/>
        <w:autoSpaceDN w:val="0"/>
        <w:adjustRightInd w:val="0"/>
        <w:spacing w:after="0" w:line="276" w:lineRule="auto"/>
        <w:ind w:firstLine="709"/>
        <w:jc w:val="both"/>
        <w:rPr>
          <w:rFonts w:ascii="Times New Roman" w:hAnsi="Times New Roman" w:cs="Times New Roman"/>
          <w:sz w:val="24"/>
          <w:szCs w:val="24"/>
        </w:rPr>
      </w:pPr>
      <w:r w:rsidRPr="0089648E">
        <w:rPr>
          <w:rFonts w:ascii="Times New Roman" w:hAnsi="Times New Roman" w:cs="Times New Roman"/>
          <w:sz w:val="24"/>
          <w:szCs w:val="24"/>
        </w:rPr>
        <w:t xml:space="preserve">Планираните политики, мерки и програми за постигане на индикативните национални цели за енергийна ефективност за 2030 г., както и на другите цели, представени в точка </w:t>
      </w:r>
      <w:r w:rsidR="00F96654">
        <w:rPr>
          <w:rFonts w:ascii="Times New Roman" w:hAnsi="Times New Roman" w:cs="Times New Roman"/>
          <w:sz w:val="24"/>
          <w:szCs w:val="24"/>
        </w:rPr>
        <w:t xml:space="preserve">1.2.1.2. </w:t>
      </w:r>
      <w:r w:rsidR="00564CF7" w:rsidRPr="00564CF7">
        <w:rPr>
          <w:rFonts w:ascii="Times New Roman" w:hAnsi="Times New Roman" w:cs="Times New Roman"/>
          <w:bCs/>
          <w:sz w:val="24"/>
          <w:szCs w:val="24"/>
        </w:rPr>
        <w:t>Измерение „Енергийна ефективност“</w:t>
      </w:r>
      <w:r w:rsidRPr="00564CF7">
        <w:rPr>
          <w:rFonts w:ascii="Times New Roman" w:hAnsi="Times New Roman" w:cs="Times New Roman"/>
          <w:sz w:val="24"/>
          <w:szCs w:val="24"/>
        </w:rPr>
        <w:t>,</w:t>
      </w:r>
      <w:r w:rsidRPr="0089648E">
        <w:rPr>
          <w:rFonts w:ascii="Times New Roman" w:hAnsi="Times New Roman" w:cs="Times New Roman"/>
          <w:sz w:val="24"/>
          <w:szCs w:val="24"/>
        </w:rPr>
        <w:t xml:space="preserve"> в това число планираните мерки и инструменти (също и от финансово естество) за насърчаване на енергийната ефективност на сградите, по-специално по отношение на следното: </w:t>
      </w:r>
    </w:p>
    <w:p w14:paraId="039A3DC6" w14:textId="77777777" w:rsidR="00741F81" w:rsidRPr="0089648E"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89648E">
        <w:rPr>
          <w:rFonts w:ascii="Times New Roman" w:hAnsi="Times New Roman" w:cs="Times New Roman"/>
          <w:i/>
          <w:iCs/>
          <w:sz w:val="24"/>
          <w:szCs w:val="24"/>
        </w:rPr>
        <w:lastRenderedPageBreak/>
        <w:t xml:space="preserve">i. Схеми за задължения за ЕЕ и алтернативни мерки по членове 7а и 7б от Директива 2012/27/ЕС [версия, изменена в съответствие с предложение COM(2016)761] (предстои да се изготвят в съответствие с приложение II)) </w:t>
      </w:r>
    </w:p>
    <w:p w14:paraId="4F407FF0"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b/>
          <w:bCs/>
          <w:i/>
          <w:iCs/>
          <w:color w:val="000000"/>
          <w:sz w:val="24"/>
          <w:szCs w:val="24"/>
        </w:rPr>
        <w:t xml:space="preserve">1) Определяне на общата кумулативна цел до 2030 г. </w:t>
      </w:r>
    </w:p>
    <w:p w14:paraId="7878FE10"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За подпомагане изпълнението на националната цел за ЕЕ и в изпълнение на изискванията на чл. 8, чл. 9 и чл. 10 от Директива (ЕС) 2023/1791 на Европейския Парламент и на Съвета от 13 септември 2023 година за енергийната ефективност и за изменение на Регламент (ЕС) 2023/955 (преработен текст), в България са въведени: </w:t>
      </w:r>
    </w:p>
    <w:p w14:paraId="54B7B0E2" w14:textId="77777777" w:rsidR="00741F81" w:rsidRPr="0089648E" w:rsidRDefault="00741F81" w:rsidP="004F15F5">
      <w:pPr>
        <w:pStyle w:val="ListParagraph"/>
        <w:numPr>
          <w:ilvl w:val="0"/>
          <w:numId w:val="47"/>
        </w:numPr>
        <w:autoSpaceDE w:val="0"/>
        <w:autoSpaceDN w:val="0"/>
        <w:adjustRightInd w:val="0"/>
        <w:spacing w:after="0" w:line="276" w:lineRule="auto"/>
        <w:jc w:val="both"/>
        <w:rPr>
          <w:rFonts w:ascii="Times New Roman" w:hAnsi="Times New Roman" w:cs="Times New Roman"/>
          <w:color w:val="000000"/>
          <w:sz w:val="24"/>
          <w:szCs w:val="24"/>
        </w:rPr>
      </w:pPr>
      <w:r w:rsidRPr="0089648E">
        <w:rPr>
          <w:rFonts w:ascii="Times New Roman" w:hAnsi="Times New Roman" w:cs="Times New Roman"/>
          <w:color w:val="000000"/>
          <w:sz w:val="24"/>
          <w:szCs w:val="24"/>
        </w:rPr>
        <w:t xml:space="preserve">схема за задължения за енергийни спестявания и </w:t>
      </w:r>
    </w:p>
    <w:p w14:paraId="2609BEB8" w14:textId="77777777" w:rsidR="00741F81" w:rsidRPr="0089648E" w:rsidRDefault="00741F81" w:rsidP="004F15F5">
      <w:pPr>
        <w:pStyle w:val="ListParagraph"/>
        <w:numPr>
          <w:ilvl w:val="0"/>
          <w:numId w:val="47"/>
        </w:numPr>
        <w:autoSpaceDE w:val="0"/>
        <w:autoSpaceDN w:val="0"/>
        <w:adjustRightInd w:val="0"/>
        <w:spacing w:after="0" w:line="276" w:lineRule="auto"/>
        <w:jc w:val="both"/>
        <w:rPr>
          <w:rFonts w:ascii="Times New Roman" w:hAnsi="Times New Roman" w:cs="Times New Roman"/>
          <w:color w:val="000000"/>
          <w:sz w:val="24"/>
          <w:szCs w:val="24"/>
        </w:rPr>
      </w:pPr>
      <w:r w:rsidRPr="0089648E">
        <w:rPr>
          <w:rFonts w:ascii="Times New Roman" w:hAnsi="Times New Roman" w:cs="Times New Roman"/>
          <w:color w:val="000000"/>
          <w:sz w:val="24"/>
          <w:szCs w:val="24"/>
        </w:rPr>
        <w:t xml:space="preserve">алтернативни мерки, </w:t>
      </w:r>
    </w:p>
    <w:p w14:paraId="5EE672E8" w14:textId="77777777" w:rsidR="00741F81" w:rsidRPr="00321A4C" w:rsidRDefault="0089648E" w:rsidP="0089648E">
      <w:pPr>
        <w:autoSpaceDE w:val="0"/>
        <w:autoSpaceDN w:val="0"/>
        <w:adjustRightInd w:val="0"/>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к</w:t>
      </w:r>
      <w:r w:rsidR="00741F81" w:rsidRPr="00321A4C">
        <w:rPr>
          <w:rFonts w:ascii="Times New Roman" w:hAnsi="Times New Roman" w:cs="Times New Roman"/>
          <w:color w:val="000000"/>
          <w:sz w:val="24"/>
          <w:szCs w:val="24"/>
        </w:rPr>
        <w:t xml:space="preserve">оито да осигурят постигането на общата кумулативна цел за енергийни спестявания при крайното потребление на енергия до 31 декември 2030 г. </w:t>
      </w:r>
    </w:p>
    <w:p w14:paraId="49D314DC"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lang w:val="en-US"/>
        </w:rPr>
      </w:pPr>
      <w:r w:rsidRPr="00321A4C">
        <w:rPr>
          <w:rFonts w:ascii="Times New Roman" w:hAnsi="Times New Roman" w:cs="Times New Roman"/>
          <w:color w:val="000000"/>
          <w:sz w:val="24"/>
          <w:szCs w:val="24"/>
        </w:rPr>
        <w:t xml:space="preserve">Общата кумулативна цел за периода от 2021 г. до 2030 г. е определена при спазване на изискванията на Директива ЕС 2023/1791 и възлиза на 6 227.39 ktoe. </w:t>
      </w:r>
    </w:p>
    <w:p w14:paraId="41D408F3"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При разпределението на общата кумулативна цел по години за периода от 2021 г. до 2030 г. е спазено изискването на чл. 8, пар. 1, т. б) кумулативните икономии на енергия при крайното потребление да са равни най-малко на: </w:t>
      </w:r>
    </w:p>
    <w:p w14:paraId="7E68219F"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- 0.8% от годишното крайно енергийно потребление от </w:t>
      </w:r>
      <w:r w:rsidR="0089648E">
        <w:rPr>
          <w:rFonts w:ascii="Times New Roman" w:hAnsi="Times New Roman" w:cs="Times New Roman"/>
          <w:color w:val="000000"/>
          <w:sz w:val="24"/>
          <w:szCs w:val="24"/>
        </w:rPr>
        <w:t>0</w:t>
      </w:r>
      <w:r w:rsidRPr="00321A4C">
        <w:rPr>
          <w:rFonts w:ascii="Times New Roman" w:hAnsi="Times New Roman" w:cs="Times New Roman"/>
          <w:color w:val="000000"/>
          <w:sz w:val="24"/>
          <w:szCs w:val="24"/>
        </w:rPr>
        <w:t>1</w:t>
      </w:r>
      <w:r w:rsidR="0089648E">
        <w:rPr>
          <w:rFonts w:ascii="Times New Roman" w:hAnsi="Times New Roman" w:cs="Times New Roman"/>
          <w:color w:val="000000"/>
          <w:sz w:val="24"/>
          <w:szCs w:val="24"/>
        </w:rPr>
        <w:t>.01.</w:t>
      </w:r>
      <w:r w:rsidRPr="00321A4C">
        <w:rPr>
          <w:rFonts w:ascii="Times New Roman" w:hAnsi="Times New Roman" w:cs="Times New Roman"/>
          <w:color w:val="000000"/>
          <w:sz w:val="24"/>
          <w:szCs w:val="24"/>
        </w:rPr>
        <w:t>2021 г. до 31</w:t>
      </w:r>
      <w:r w:rsidR="0089648E">
        <w:rPr>
          <w:rFonts w:ascii="Times New Roman" w:hAnsi="Times New Roman" w:cs="Times New Roman"/>
          <w:color w:val="000000"/>
          <w:sz w:val="24"/>
          <w:szCs w:val="24"/>
        </w:rPr>
        <w:t>.12.</w:t>
      </w:r>
      <w:r w:rsidRPr="00321A4C">
        <w:rPr>
          <w:rFonts w:ascii="Times New Roman" w:hAnsi="Times New Roman" w:cs="Times New Roman"/>
          <w:color w:val="000000"/>
          <w:sz w:val="24"/>
          <w:szCs w:val="24"/>
        </w:rPr>
        <w:t xml:space="preserve">2023 г., осреднено за последния тригодишен период, предхождащ </w:t>
      </w:r>
      <w:r w:rsidR="0089648E">
        <w:rPr>
          <w:rFonts w:ascii="Times New Roman" w:hAnsi="Times New Roman" w:cs="Times New Roman"/>
          <w:color w:val="000000"/>
          <w:sz w:val="24"/>
          <w:szCs w:val="24"/>
        </w:rPr>
        <w:t>0</w:t>
      </w:r>
      <w:r w:rsidRPr="00321A4C">
        <w:rPr>
          <w:rFonts w:ascii="Times New Roman" w:hAnsi="Times New Roman" w:cs="Times New Roman"/>
          <w:color w:val="000000"/>
          <w:sz w:val="24"/>
          <w:szCs w:val="24"/>
        </w:rPr>
        <w:t>1</w:t>
      </w:r>
      <w:r w:rsidR="0089648E">
        <w:rPr>
          <w:rFonts w:ascii="Times New Roman" w:hAnsi="Times New Roman" w:cs="Times New Roman"/>
          <w:color w:val="000000"/>
          <w:sz w:val="24"/>
          <w:szCs w:val="24"/>
        </w:rPr>
        <w:t>.01.</w:t>
      </w:r>
      <w:r w:rsidRPr="00321A4C">
        <w:rPr>
          <w:rFonts w:ascii="Times New Roman" w:hAnsi="Times New Roman" w:cs="Times New Roman"/>
          <w:color w:val="000000"/>
          <w:sz w:val="24"/>
          <w:szCs w:val="24"/>
        </w:rPr>
        <w:t xml:space="preserve">2019 г.; </w:t>
      </w:r>
    </w:p>
    <w:p w14:paraId="7BDEDEAC"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sz w:val="24"/>
          <w:szCs w:val="24"/>
        </w:rPr>
        <w:t xml:space="preserve">- 1.3% от годишното крайно енергийно потребление от </w:t>
      </w:r>
      <w:r w:rsidR="0089648E">
        <w:rPr>
          <w:rFonts w:ascii="Times New Roman" w:hAnsi="Times New Roman" w:cs="Times New Roman"/>
          <w:sz w:val="24"/>
          <w:szCs w:val="24"/>
        </w:rPr>
        <w:t>01.01.</w:t>
      </w:r>
      <w:r w:rsidRPr="00321A4C">
        <w:rPr>
          <w:rFonts w:ascii="Times New Roman" w:hAnsi="Times New Roman" w:cs="Times New Roman"/>
          <w:sz w:val="24"/>
          <w:szCs w:val="24"/>
        </w:rPr>
        <w:t>2024 г. до 31</w:t>
      </w:r>
      <w:r w:rsidR="0089648E">
        <w:rPr>
          <w:rFonts w:ascii="Times New Roman" w:hAnsi="Times New Roman" w:cs="Times New Roman"/>
          <w:sz w:val="24"/>
          <w:szCs w:val="24"/>
        </w:rPr>
        <w:t>.12.</w:t>
      </w:r>
      <w:r w:rsidRPr="00321A4C">
        <w:rPr>
          <w:rFonts w:ascii="Times New Roman" w:hAnsi="Times New Roman" w:cs="Times New Roman"/>
          <w:sz w:val="24"/>
          <w:szCs w:val="24"/>
        </w:rPr>
        <w:t xml:space="preserve">2025 г., осреднено за последния тригодишен период, предхождащ </w:t>
      </w:r>
      <w:r w:rsidR="0089648E">
        <w:rPr>
          <w:rFonts w:ascii="Times New Roman" w:hAnsi="Times New Roman" w:cs="Times New Roman"/>
          <w:sz w:val="24"/>
          <w:szCs w:val="24"/>
        </w:rPr>
        <w:t>01.01.</w:t>
      </w:r>
      <w:r w:rsidRPr="00321A4C">
        <w:rPr>
          <w:rFonts w:ascii="Times New Roman" w:hAnsi="Times New Roman" w:cs="Times New Roman"/>
          <w:sz w:val="24"/>
          <w:szCs w:val="24"/>
        </w:rPr>
        <w:t xml:space="preserve">2019 г.; </w:t>
      </w:r>
    </w:p>
    <w:p w14:paraId="30116DE3"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sz w:val="24"/>
          <w:szCs w:val="24"/>
        </w:rPr>
        <w:t xml:space="preserve">- 1.5% от годишното крайно енергийно потребление от </w:t>
      </w:r>
      <w:r w:rsidR="0089648E">
        <w:rPr>
          <w:rFonts w:ascii="Times New Roman" w:hAnsi="Times New Roman" w:cs="Times New Roman"/>
          <w:sz w:val="24"/>
          <w:szCs w:val="24"/>
        </w:rPr>
        <w:t>01.01.</w:t>
      </w:r>
      <w:r w:rsidRPr="00321A4C">
        <w:rPr>
          <w:rFonts w:ascii="Times New Roman" w:hAnsi="Times New Roman" w:cs="Times New Roman"/>
          <w:sz w:val="24"/>
          <w:szCs w:val="24"/>
        </w:rPr>
        <w:t>2026 г. до 31</w:t>
      </w:r>
      <w:r w:rsidR="0089648E">
        <w:rPr>
          <w:rFonts w:ascii="Times New Roman" w:hAnsi="Times New Roman" w:cs="Times New Roman"/>
          <w:sz w:val="24"/>
          <w:szCs w:val="24"/>
        </w:rPr>
        <w:t>.12.</w:t>
      </w:r>
      <w:r w:rsidRPr="00321A4C">
        <w:rPr>
          <w:rFonts w:ascii="Times New Roman" w:hAnsi="Times New Roman" w:cs="Times New Roman"/>
          <w:sz w:val="24"/>
          <w:szCs w:val="24"/>
        </w:rPr>
        <w:t xml:space="preserve">2027 г., осреднено за последния тригодишен период, предхождащ </w:t>
      </w:r>
      <w:r w:rsidR="00490E63">
        <w:rPr>
          <w:rFonts w:ascii="Times New Roman" w:hAnsi="Times New Roman" w:cs="Times New Roman"/>
          <w:sz w:val="24"/>
          <w:szCs w:val="24"/>
        </w:rPr>
        <w:t>01.01.</w:t>
      </w:r>
      <w:r w:rsidRPr="00321A4C">
        <w:rPr>
          <w:rFonts w:ascii="Times New Roman" w:hAnsi="Times New Roman" w:cs="Times New Roman"/>
          <w:sz w:val="24"/>
          <w:szCs w:val="24"/>
        </w:rPr>
        <w:t xml:space="preserve">2019 г.; </w:t>
      </w:r>
    </w:p>
    <w:p w14:paraId="27B16B9E"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sz w:val="24"/>
          <w:szCs w:val="24"/>
        </w:rPr>
        <w:t xml:space="preserve">- 1.9% от годишното крайно енергийно потребление от </w:t>
      </w:r>
      <w:r w:rsidR="00490E63">
        <w:rPr>
          <w:rFonts w:ascii="Times New Roman" w:hAnsi="Times New Roman" w:cs="Times New Roman"/>
          <w:sz w:val="24"/>
          <w:szCs w:val="24"/>
        </w:rPr>
        <w:t>01.01.2028 г. до 31.12.</w:t>
      </w:r>
      <w:r w:rsidRPr="00321A4C">
        <w:rPr>
          <w:rFonts w:ascii="Times New Roman" w:hAnsi="Times New Roman" w:cs="Times New Roman"/>
          <w:sz w:val="24"/>
          <w:szCs w:val="24"/>
        </w:rPr>
        <w:t xml:space="preserve">2030 г., осреднено за последния тригодишен период, предхождащ </w:t>
      </w:r>
      <w:r w:rsidR="00490E63">
        <w:rPr>
          <w:rFonts w:ascii="Times New Roman" w:hAnsi="Times New Roman" w:cs="Times New Roman"/>
          <w:sz w:val="24"/>
          <w:szCs w:val="24"/>
        </w:rPr>
        <w:t>01.01.</w:t>
      </w:r>
      <w:r w:rsidRPr="00321A4C">
        <w:rPr>
          <w:rFonts w:ascii="Times New Roman" w:hAnsi="Times New Roman" w:cs="Times New Roman"/>
          <w:sz w:val="24"/>
          <w:szCs w:val="24"/>
        </w:rPr>
        <w:t xml:space="preserve">2019 г. </w:t>
      </w:r>
    </w:p>
    <w:p w14:paraId="5C7A512E"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За подпомагане изпълнението на националната цел за енергийна ефективност (ЕЕ) до 31</w:t>
      </w:r>
      <w:r w:rsidR="00490E63">
        <w:rPr>
          <w:rFonts w:ascii="Times New Roman" w:hAnsi="Times New Roman" w:cs="Times New Roman"/>
          <w:color w:val="000000"/>
          <w:sz w:val="24"/>
          <w:szCs w:val="24"/>
        </w:rPr>
        <w:t>.12.</w:t>
      </w:r>
      <w:r w:rsidRPr="00321A4C">
        <w:rPr>
          <w:rFonts w:ascii="Times New Roman" w:hAnsi="Times New Roman" w:cs="Times New Roman"/>
          <w:color w:val="000000"/>
          <w:sz w:val="24"/>
          <w:szCs w:val="24"/>
        </w:rPr>
        <w:t xml:space="preserve">2030 г. е въведена схема за задължения за енергийни спестявания, както и алтернативни мерки, които да осигурят постигането на обща кумулативна цел за енергийни спестявания при крайното потребление на енергия за периода от </w:t>
      </w:r>
      <w:r w:rsidR="00490E63">
        <w:rPr>
          <w:rFonts w:ascii="Times New Roman" w:hAnsi="Times New Roman" w:cs="Times New Roman"/>
          <w:color w:val="000000"/>
          <w:sz w:val="24"/>
          <w:szCs w:val="24"/>
        </w:rPr>
        <w:t>01.01.2021 г. до 31.12.</w:t>
      </w:r>
      <w:r w:rsidRPr="00321A4C">
        <w:rPr>
          <w:rFonts w:ascii="Times New Roman" w:hAnsi="Times New Roman" w:cs="Times New Roman"/>
          <w:color w:val="000000"/>
          <w:sz w:val="24"/>
          <w:szCs w:val="24"/>
        </w:rPr>
        <w:t xml:space="preserve">2030 г. </w:t>
      </w:r>
    </w:p>
    <w:p w14:paraId="5B89482C"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Разликата между общата кумулативна цел и прогнозните енергийни спестявания от прилагането на алтернативните мерки се разпределя като индивидуални цели за енергийни спестявания между следните задължени лица, действащи на територията на Република България: </w:t>
      </w:r>
    </w:p>
    <w:p w14:paraId="3CA2A07E"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1. крайни снабдители, доставчици от последна инстанция, търговци с издадена лицензия за дейността "търговия с електрическа енергия", които продават електрическа енергия на крайни клиенти повече от 20 GWh годишно; </w:t>
      </w:r>
    </w:p>
    <w:p w14:paraId="45F3D9D0"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2. топлопреносни предприятия и доставчици на топлинна енергия, които продават топлинна енергия на крайни клиенти повече от 20 GWh годишно; </w:t>
      </w:r>
    </w:p>
    <w:p w14:paraId="36F7EAD0"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lastRenderedPageBreak/>
        <w:t xml:space="preserve">3. крайните снабдители и търговци на природен газ, които продават на крайни клиенти повече от 1 млн. кубически метра годишно; </w:t>
      </w:r>
    </w:p>
    <w:p w14:paraId="5FF7F6C4"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4. търговци на течни горива, които продават на крайни клиенти повече от 500 тона течни горива годишно; </w:t>
      </w:r>
    </w:p>
    <w:p w14:paraId="46C2A8CD"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5. търговци на твърди горива, които продават на крайни клиенти повече от 13 хил. тона твърди горива годишно. </w:t>
      </w:r>
    </w:p>
    <w:p w14:paraId="34D29405"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Очакваните нови годишни спестявания на енергия в крайното енергийно потребление, постигнати чрез Схема за задължения, разпределени по години са: </w:t>
      </w:r>
    </w:p>
    <w:p w14:paraId="0D854B9A" w14:textId="77777777" w:rsidR="00741F81" w:rsidRPr="00490E63" w:rsidRDefault="00741F81" w:rsidP="004F15F5">
      <w:pPr>
        <w:pStyle w:val="ListParagraph"/>
        <w:numPr>
          <w:ilvl w:val="0"/>
          <w:numId w:val="48"/>
        </w:numPr>
        <w:autoSpaceDE w:val="0"/>
        <w:autoSpaceDN w:val="0"/>
        <w:adjustRightInd w:val="0"/>
        <w:spacing w:after="0" w:line="276" w:lineRule="auto"/>
        <w:jc w:val="both"/>
        <w:rPr>
          <w:rFonts w:ascii="Times New Roman" w:hAnsi="Times New Roman" w:cs="Times New Roman"/>
          <w:color w:val="000000"/>
          <w:sz w:val="24"/>
          <w:szCs w:val="24"/>
        </w:rPr>
      </w:pPr>
      <w:r w:rsidRPr="00490E63">
        <w:rPr>
          <w:rFonts w:ascii="Times New Roman" w:hAnsi="Times New Roman" w:cs="Times New Roman"/>
          <w:color w:val="000000"/>
          <w:sz w:val="24"/>
          <w:szCs w:val="24"/>
        </w:rPr>
        <w:t xml:space="preserve">11.85 ktoe/г. (2023-2024) </w:t>
      </w:r>
    </w:p>
    <w:p w14:paraId="4DB206DF" w14:textId="77777777" w:rsidR="00741F81" w:rsidRPr="00490E63" w:rsidRDefault="00741F81" w:rsidP="004F15F5">
      <w:pPr>
        <w:pStyle w:val="ListParagraph"/>
        <w:numPr>
          <w:ilvl w:val="0"/>
          <w:numId w:val="48"/>
        </w:numPr>
        <w:autoSpaceDE w:val="0"/>
        <w:autoSpaceDN w:val="0"/>
        <w:adjustRightInd w:val="0"/>
        <w:spacing w:after="0" w:line="276" w:lineRule="auto"/>
        <w:jc w:val="both"/>
        <w:rPr>
          <w:rFonts w:ascii="Times New Roman" w:hAnsi="Times New Roman" w:cs="Times New Roman"/>
          <w:color w:val="000000"/>
          <w:sz w:val="24"/>
          <w:szCs w:val="24"/>
        </w:rPr>
      </w:pPr>
      <w:r w:rsidRPr="00490E63">
        <w:rPr>
          <w:rFonts w:ascii="Times New Roman" w:hAnsi="Times New Roman" w:cs="Times New Roman"/>
          <w:color w:val="000000"/>
          <w:sz w:val="24"/>
          <w:szCs w:val="24"/>
        </w:rPr>
        <w:t xml:space="preserve">20.43 ktoe/г. за 2025 г. </w:t>
      </w:r>
    </w:p>
    <w:p w14:paraId="41BE6E21" w14:textId="77777777" w:rsidR="00741F81" w:rsidRPr="00490E63" w:rsidRDefault="00741F81" w:rsidP="004F15F5">
      <w:pPr>
        <w:pStyle w:val="ListParagraph"/>
        <w:numPr>
          <w:ilvl w:val="0"/>
          <w:numId w:val="48"/>
        </w:numPr>
        <w:autoSpaceDE w:val="0"/>
        <w:autoSpaceDN w:val="0"/>
        <w:adjustRightInd w:val="0"/>
        <w:spacing w:after="0" w:line="276" w:lineRule="auto"/>
        <w:jc w:val="both"/>
        <w:rPr>
          <w:rFonts w:ascii="Times New Roman" w:hAnsi="Times New Roman" w:cs="Times New Roman"/>
          <w:color w:val="000000"/>
          <w:sz w:val="24"/>
          <w:szCs w:val="24"/>
        </w:rPr>
      </w:pPr>
      <w:r w:rsidRPr="00490E63">
        <w:rPr>
          <w:rFonts w:ascii="Times New Roman" w:hAnsi="Times New Roman" w:cs="Times New Roman"/>
          <w:color w:val="000000"/>
          <w:sz w:val="24"/>
          <w:szCs w:val="24"/>
        </w:rPr>
        <w:t xml:space="preserve">23.57 ktoe/г. (2026-2027) </w:t>
      </w:r>
    </w:p>
    <w:p w14:paraId="4193CF04" w14:textId="77777777" w:rsidR="00741F81" w:rsidRPr="00490E63" w:rsidRDefault="00741F81" w:rsidP="004F15F5">
      <w:pPr>
        <w:pStyle w:val="ListParagraph"/>
        <w:numPr>
          <w:ilvl w:val="0"/>
          <w:numId w:val="48"/>
        </w:numPr>
        <w:autoSpaceDE w:val="0"/>
        <w:autoSpaceDN w:val="0"/>
        <w:adjustRightInd w:val="0"/>
        <w:spacing w:after="0" w:line="276" w:lineRule="auto"/>
        <w:jc w:val="both"/>
        <w:rPr>
          <w:rFonts w:ascii="Times New Roman" w:hAnsi="Times New Roman" w:cs="Times New Roman"/>
          <w:color w:val="000000"/>
          <w:sz w:val="24"/>
          <w:szCs w:val="24"/>
        </w:rPr>
      </w:pPr>
      <w:r w:rsidRPr="00490E63">
        <w:rPr>
          <w:rFonts w:ascii="Times New Roman" w:hAnsi="Times New Roman" w:cs="Times New Roman"/>
          <w:color w:val="000000"/>
          <w:sz w:val="24"/>
          <w:szCs w:val="24"/>
        </w:rPr>
        <w:t xml:space="preserve">29.86 ktoe/г. (2028-2030) </w:t>
      </w:r>
    </w:p>
    <w:p w14:paraId="5E799CED" w14:textId="77777777" w:rsidR="00490E63" w:rsidRDefault="00490E63" w:rsidP="00321A4C">
      <w:pPr>
        <w:autoSpaceDE w:val="0"/>
        <w:autoSpaceDN w:val="0"/>
        <w:adjustRightInd w:val="0"/>
        <w:spacing w:after="0" w:line="276" w:lineRule="auto"/>
        <w:ind w:firstLine="709"/>
        <w:jc w:val="both"/>
        <w:rPr>
          <w:rFonts w:ascii="Times New Roman" w:hAnsi="Times New Roman" w:cs="Times New Roman"/>
          <w:b/>
          <w:bCs/>
          <w:i/>
          <w:iCs/>
          <w:color w:val="000000"/>
          <w:sz w:val="24"/>
          <w:szCs w:val="24"/>
        </w:rPr>
      </w:pPr>
    </w:p>
    <w:p w14:paraId="7A860D15"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b/>
          <w:bCs/>
          <w:i/>
          <w:iCs/>
          <w:color w:val="000000"/>
          <w:sz w:val="24"/>
          <w:szCs w:val="24"/>
        </w:rPr>
        <w:t xml:space="preserve">Алтернативни мерки </w:t>
      </w:r>
    </w:p>
    <w:p w14:paraId="03B0C86F"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1) Алтернативна мярка 1 </w:t>
      </w:r>
    </w:p>
    <w:p w14:paraId="3005E9B8"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Средства за мерки по енергийна ефективност и възобновяеми източници по програми (Програма "Околна среда" 2021-2027 г., Програма "Конкурентоспособност и иновации в предприятията" 2021-2027 г., Програма „Развитие на регионите“ 2021-2027 г. и Програма „Транспортна свързаност“) </w:t>
      </w:r>
    </w:p>
    <w:p w14:paraId="6DE415CD" w14:textId="77777777" w:rsidR="00741F81" w:rsidRPr="00321A4C" w:rsidRDefault="00741F81" w:rsidP="00490E63">
      <w:pPr>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1.1 Програма "Околна среда" 2021-2027 г.1.2 Програма „Конкурентоспособност и иновации в предприятията“ 2021-2027 г. Управляващ орган на Програма „Конкурентоспособност и иновации в предприятията“ 2021-2027 г. (ПКИП) е Главна</w:t>
      </w:r>
      <w:r w:rsidR="00490E63">
        <w:rPr>
          <w:rFonts w:ascii="Times New Roman" w:hAnsi="Times New Roman" w:cs="Times New Roman"/>
          <w:color w:val="000000"/>
          <w:sz w:val="24"/>
          <w:szCs w:val="24"/>
        </w:rPr>
        <w:t xml:space="preserve"> </w:t>
      </w:r>
      <w:r w:rsidRPr="00321A4C">
        <w:rPr>
          <w:rFonts w:ascii="Times New Roman" w:hAnsi="Times New Roman" w:cs="Times New Roman"/>
          <w:color w:val="000000"/>
          <w:sz w:val="24"/>
          <w:szCs w:val="24"/>
        </w:rPr>
        <w:t xml:space="preserve">дирекция „Европейски фондове за конкурентоспособност“ към Министерство на иновациите и растежа. </w:t>
      </w:r>
    </w:p>
    <w:p w14:paraId="62255122"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Програмата предвижда подкрепа за дейности, насочени към изпълнение на мерки за енергийна ефективност в предприятията въз основа на препоръки от енергиен одит (обследване за енергийна ефективност): въвеждане и сертифициране на системи за енергиен мениджмънт и въвеждане на системи за мониторинг и контрол на енергопотреблението. </w:t>
      </w:r>
    </w:p>
    <w:p w14:paraId="4CA66256" w14:textId="77777777" w:rsidR="00490E63" w:rsidRDefault="00490E63"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2617670B"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1.2 Програма „Развитие на регионите“ 2021-2027 г. </w:t>
      </w:r>
    </w:p>
    <w:p w14:paraId="6AD8D6C1" w14:textId="3386BC0A"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Управляващ орган на Програма „Развитие на регионите“ 2021-2027 (ПРР) - Главна дирекция "Стратегическо планиране и програми за регионално развитие" при Министерство на регионалното развитие и благоустройството. Програмата предвижда подкрепа за мерки за повишаване на енергийната ефективност в жилищни и обществени сгради, вкл. студентски и ученически общежития: кампании за повишаване на осведомеността и всички видове мерки за енергийна ефективност в сградите, вкл. конструктивно (и сеизмично) укрепване, системи за отопление и климатизация, интегрирани инсталации за възобновяема енергия на място, оборудване за зареждане на електромобили, цифровизация на сградите, зелена инфраструктура и др. Подобрената енергийна ефективност на сградния фонд ще доведе до по-нисък разход на енергия, което </w:t>
      </w:r>
      <w:r w:rsidRPr="00321A4C">
        <w:rPr>
          <w:rFonts w:ascii="Times New Roman" w:hAnsi="Times New Roman" w:cs="Times New Roman"/>
          <w:color w:val="000000"/>
          <w:sz w:val="24"/>
          <w:szCs w:val="24"/>
        </w:rPr>
        <w:lastRenderedPageBreak/>
        <w:t xml:space="preserve">има и принос за намаляване на емисиите на замърсители на въздуха. За подобряване на жилищните условия и енергийните характеристики на сградите ПРР ще подпомага обновяването на сградния фонд в съответствие с Дългосрочната национална стратегия за подпомагане обновяването на националния сграден фонд от жилищни и нежилищни сгради до 2050 г., като е предвидено да осигури над 3% от общия необходим финансов ресурс за обновяване на сградния фонд и инвестиции в енергийна ефективност, с което се очаква да бъдат постигнати 10% от заложените цели за понижаване на годишното потребление на енергия до 2030 г. по </w:t>
      </w:r>
      <w:r w:rsidR="005B5EB3">
        <w:rPr>
          <w:rFonts w:ascii="Times New Roman" w:hAnsi="Times New Roman" w:cs="Times New Roman"/>
          <w:color w:val="000000"/>
          <w:sz w:val="24"/>
          <w:szCs w:val="24"/>
        </w:rPr>
        <w:t>ИПЕК</w:t>
      </w:r>
      <w:r w:rsidRPr="00321A4C">
        <w:rPr>
          <w:rFonts w:ascii="Times New Roman" w:hAnsi="Times New Roman" w:cs="Times New Roman"/>
          <w:color w:val="000000"/>
          <w:sz w:val="24"/>
          <w:szCs w:val="24"/>
        </w:rPr>
        <w:t xml:space="preserve">. </w:t>
      </w:r>
    </w:p>
    <w:p w14:paraId="1BB38813" w14:textId="77777777" w:rsidR="00490E63" w:rsidRDefault="00490E63"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51781259"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1.3 Програма „Транспортна свързаност“ </w:t>
      </w:r>
    </w:p>
    <w:p w14:paraId="0664CB2F"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Управляващ орган на Програма „Транспортна свързаност“ 2021-2027 г. (ПТС) е дирекция "Координация на програми и проекти" към Министерството на транспорта и съобщенията. </w:t>
      </w:r>
    </w:p>
    <w:p w14:paraId="63D37E4C"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ПТС са включени мерки за интермодалност в градска среда и изграждане на зарядни станции за електромобили по републиканската пътна мрежа. Програма „Транспортна свързаност“ осигурява средства в размер на 92 млн лв. за зарядна инфраструктура за алтернативни горива по републиканската пътна мрежа и в пристанищата. Целта е да се насърчи поетапното изтегляне от употреба на високоемисионните автомобили и замяната им с електромобили. </w:t>
      </w:r>
    </w:p>
    <w:p w14:paraId="43A11A9A" w14:textId="77777777" w:rsidR="0083664A" w:rsidRPr="00CE6E9E" w:rsidRDefault="00741F81" w:rsidP="00321A4C">
      <w:pPr>
        <w:spacing w:after="0" w:line="276" w:lineRule="auto"/>
        <w:ind w:firstLine="709"/>
        <w:jc w:val="both"/>
        <w:rPr>
          <w:rFonts w:ascii="Times New Roman" w:hAnsi="Times New Roman" w:cs="Times New Roman"/>
          <w:sz w:val="24"/>
          <w:szCs w:val="24"/>
          <w:lang w:val="en-US"/>
        </w:rPr>
      </w:pPr>
      <w:r w:rsidRPr="00321A4C">
        <w:rPr>
          <w:rFonts w:ascii="Times New Roman" w:hAnsi="Times New Roman" w:cs="Times New Roman"/>
          <w:color w:val="000000"/>
          <w:sz w:val="24"/>
          <w:szCs w:val="24"/>
        </w:rPr>
        <w:t xml:space="preserve">Предвидени са и мерки за повишаване енергийната ефективност на обществените пространства, въвеждане на интелигентни модерни системи за управление </w:t>
      </w:r>
      <w:r w:rsidRPr="00CE6E9E">
        <w:rPr>
          <w:rFonts w:ascii="Times New Roman" w:hAnsi="Times New Roman" w:cs="Times New Roman"/>
          <w:sz w:val="24"/>
          <w:szCs w:val="24"/>
        </w:rPr>
        <w:t>на пасивни и активни системи за отопление, климатизация, осветление, информация и др.</w:t>
      </w:r>
    </w:p>
    <w:p w14:paraId="16865C7E" w14:textId="77777777" w:rsidR="00490E63" w:rsidRPr="00CE6E9E" w:rsidRDefault="00490E63" w:rsidP="00321A4C">
      <w:pPr>
        <w:autoSpaceDE w:val="0"/>
        <w:autoSpaceDN w:val="0"/>
        <w:adjustRightInd w:val="0"/>
        <w:spacing w:after="0" w:line="276" w:lineRule="auto"/>
        <w:ind w:firstLine="709"/>
        <w:jc w:val="both"/>
        <w:rPr>
          <w:rFonts w:ascii="Times New Roman" w:hAnsi="Times New Roman" w:cs="Times New Roman"/>
          <w:sz w:val="24"/>
          <w:szCs w:val="24"/>
        </w:rPr>
      </w:pPr>
    </w:p>
    <w:p w14:paraId="3B96F962" w14:textId="77777777" w:rsidR="00490E63" w:rsidRPr="00CE6E9E" w:rsidRDefault="00490E63" w:rsidP="00490E63">
      <w:pPr>
        <w:spacing w:after="0" w:line="276" w:lineRule="auto"/>
        <w:ind w:firstLine="709"/>
        <w:jc w:val="both"/>
        <w:rPr>
          <w:rFonts w:ascii="Times New Roman" w:hAnsi="Times New Roman" w:cs="Times New Roman"/>
          <w:sz w:val="24"/>
          <w:szCs w:val="24"/>
        </w:rPr>
      </w:pPr>
      <w:r w:rsidRPr="00CE6E9E">
        <w:rPr>
          <w:rFonts w:ascii="Times New Roman" w:hAnsi="Times New Roman" w:cs="Times New Roman"/>
          <w:sz w:val="24"/>
          <w:szCs w:val="24"/>
        </w:rPr>
        <w:t xml:space="preserve">2) Алтернативна мярка 2 </w:t>
      </w:r>
    </w:p>
    <w:p w14:paraId="29E9F381" w14:textId="77777777" w:rsidR="00490E63" w:rsidRPr="00CE6E9E" w:rsidRDefault="00490E63" w:rsidP="00490E63">
      <w:pPr>
        <w:spacing w:after="0" w:line="276" w:lineRule="auto"/>
        <w:ind w:firstLine="709"/>
        <w:jc w:val="both"/>
        <w:rPr>
          <w:rFonts w:ascii="Times New Roman" w:hAnsi="Times New Roman" w:cs="Times New Roman"/>
          <w:sz w:val="24"/>
          <w:szCs w:val="24"/>
        </w:rPr>
      </w:pPr>
      <w:r w:rsidRPr="00CE6E9E">
        <w:rPr>
          <w:rFonts w:ascii="Times New Roman" w:hAnsi="Times New Roman" w:cs="Times New Roman"/>
          <w:sz w:val="24"/>
          <w:szCs w:val="24"/>
        </w:rPr>
        <w:t>Въвеждане на национален механизъм за финансиране на енергийна ефективност – Национален декарбонизационен фонд</w:t>
      </w:r>
    </w:p>
    <w:p w14:paraId="0F2F599C" w14:textId="77777777" w:rsidR="00490E63" w:rsidRPr="00CE6E9E" w:rsidRDefault="00490E63" w:rsidP="00321A4C">
      <w:pPr>
        <w:autoSpaceDE w:val="0"/>
        <w:autoSpaceDN w:val="0"/>
        <w:adjustRightInd w:val="0"/>
        <w:spacing w:after="0" w:line="276" w:lineRule="auto"/>
        <w:ind w:firstLine="709"/>
        <w:jc w:val="both"/>
        <w:rPr>
          <w:rFonts w:ascii="Times New Roman" w:hAnsi="Times New Roman" w:cs="Times New Roman"/>
          <w:sz w:val="24"/>
          <w:szCs w:val="24"/>
        </w:rPr>
      </w:pPr>
    </w:p>
    <w:p w14:paraId="268D5C90" w14:textId="77777777" w:rsidR="00741F81" w:rsidRPr="00CE6E9E"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CE6E9E">
        <w:rPr>
          <w:rFonts w:ascii="Times New Roman" w:hAnsi="Times New Roman" w:cs="Times New Roman"/>
          <w:sz w:val="24"/>
          <w:szCs w:val="24"/>
        </w:rPr>
        <w:t xml:space="preserve">3) Алтернативна мярка 3 </w:t>
      </w:r>
    </w:p>
    <w:p w14:paraId="1824BE35" w14:textId="77777777" w:rsidR="0083664A" w:rsidRPr="00CE6E9E" w:rsidRDefault="00741F81" w:rsidP="00321A4C">
      <w:pPr>
        <w:spacing w:after="0" w:line="276" w:lineRule="auto"/>
        <w:ind w:firstLine="709"/>
        <w:jc w:val="both"/>
        <w:rPr>
          <w:rFonts w:ascii="Times New Roman" w:hAnsi="Times New Roman" w:cs="Times New Roman"/>
          <w:sz w:val="24"/>
          <w:szCs w:val="24"/>
          <w:lang w:val="en-US"/>
        </w:rPr>
      </w:pPr>
      <w:r w:rsidRPr="00CE6E9E">
        <w:rPr>
          <w:rFonts w:ascii="Times New Roman" w:hAnsi="Times New Roman" w:cs="Times New Roman"/>
          <w:sz w:val="24"/>
          <w:szCs w:val="24"/>
        </w:rPr>
        <w:t>Национален план за възстановяване и устойчивост на Република България (ПВУ)</w:t>
      </w:r>
    </w:p>
    <w:p w14:paraId="54A1AC14"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sz w:val="24"/>
          <w:szCs w:val="24"/>
        </w:rPr>
        <w:t xml:space="preserve">Инвестиция 3: Енергийно ефективни общински системи за външно изкуствено осветление </w:t>
      </w:r>
    </w:p>
    <w:p w14:paraId="59535747"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sz w:val="24"/>
          <w:szCs w:val="24"/>
        </w:rPr>
        <w:t xml:space="preserve">Целта на инвестицията е повишаване на енергийната ефективност, намаляване на разходите на енергия за външно изкуствено осветление и подобряване условията на живот на населението в страната чрез технологично обновление и модернизиране на системите за външно изкуствено осветление. Предвидено е общият размер на помощта, предоставяна на крайните получатели, да възлиза на 50% от стойността на проекта, като останалите 50% ще бъдат предоставяни по проекта под формата на безлихвен заем, който трябва да бъде погасен в 5-годишен период на вноски в Националния фонд за декарбонизация, след неговото институционализиране. Общият планиран ресурс е 180.0 милиона лева, от които </w:t>
      </w:r>
      <w:r w:rsidRPr="00321A4C">
        <w:rPr>
          <w:rFonts w:ascii="Times New Roman" w:hAnsi="Times New Roman" w:cs="Times New Roman"/>
          <w:sz w:val="24"/>
          <w:szCs w:val="24"/>
        </w:rPr>
        <w:lastRenderedPageBreak/>
        <w:t xml:space="preserve">149.0 млн. лв. от Механизма за възстановяване и устойчивост и 31 млн. лв. национално съфинансиране под формата на разходи за ДДС, с период на изпълнение 2022-2025 г. </w:t>
      </w:r>
    </w:p>
    <w:p w14:paraId="6D481ABA"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sz w:val="24"/>
          <w:szCs w:val="24"/>
        </w:rPr>
        <w:t xml:space="preserve">Очакваните кумулативни спестявания енергийни спестявания за периода 2021-2030 г. са в размер на 71.11 ktoe. Разпределението на новите годишни спестявания е както следва: 5.13 ktoe/год. за 2024 г. и 5.87 ktoe/год. за 2025 г. </w:t>
      </w:r>
    </w:p>
    <w:p w14:paraId="02364CE8" w14:textId="77777777" w:rsidR="00490E63" w:rsidRDefault="00490E63" w:rsidP="00321A4C">
      <w:pPr>
        <w:autoSpaceDE w:val="0"/>
        <w:autoSpaceDN w:val="0"/>
        <w:adjustRightInd w:val="0"/>
        <w:spacing w:after="0" w:line="276" w:lineRule="auto"/>
        <w:ind w:firstLine="709"/>
        <w:jc w:val="both"/>
        <w:rPr>
          <w:rFonts w:ascii="Times New Roman" w:hAnsi="Times New Roman" w:cs="Times New Roman"/>
          <w:sz w:val="24"/>
          <w:szCs w:val="24"/>
        </w:rPr>
      </w:pPr>
    </w:p>
    <w:p w14:paraId="78311328"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sz w:val="24"/>
          <w:szCs w:val="24"/>
        </w:rPr>
        <w:t xml:space="preserve">4) Алтернативна мярка 4 </w:t>
      </w:r>
    </w:p>
    <w:p w14:paraId="0DB8CC30"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sz w:val="24"/>
          <w:szCs w:val="24"/>
        </w:rPr>
        <w:t xml:space="preserve">Национален план за възстановяване и устойчивост на Република България </w:t>
      </w:r>
    </w:p>
    <w:p w14:paraId="057E1227"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sz w:val="24"/>
          <w:szCs w:val="24"/>
        </w:rPr>
        <w:t xml:space="preserve">В утвърдения с Решение за изпълнение на Съвета ST 8091/22 от 04.05.2022 г. План за възстановяване и устойчивост на Република България, подготвен съгласно Механизма за възстановяване и устойчивост, е предвидено финансиране за обновяване на многофамилни жилищни сгради чрез подмярка „Подкрепа за устойчиво енергийно обновяване на жилищния сграден фонд“ в рамките на инвестиция C4.I1 „Подкрепа за обновяване на сградния фонд“. За изпълнение на инвестицията се предвижда въвеждането на модел на предоставяне на финансова помощ с намаляващ интензитет за обновяване на многофамилни жилищни сгради в режим на етажна собственост, разделен в два етапа на кандидатстване. За етап 1 при кандидатстване – подаване на „предложение за изпълнение на инвестицията“ до 31 май 2023 г. е предвидена 100% безвъзмездна финансова помощ за всички допустими дейности. За етап 2 срокът за кандидатстване е от юни 2023 г. до януари 2024 г. с предоставяне на 80% безвъзмездна финансова помощ за обновителните дейности и 20% самоучастие на сдруженията. </w:t>
      </w:r>
    </w:p>
    <w:p w14:paraId="508B04EF" w14:textId="77777777" w:rsidR="0083664A" w:rsidRPr="00F01768" w:rsidRDefault="00741F81" w:rsidP="00321A4C">
      <w:pPr>
        <w:spacing w:after="0" w:line="276" w:lineRule="auto"/>
        <w:ind w:firstLine="709"/>
        <w:jc w:val="both"/>
        <w:rPr>
          <w:rFonts w:ascii="Times New Roman" w:hAnsi="Times New Roman" w:cs="Times New Roman"/>
          <w:sz w:val="24"/>
          <w:szCs w:val="24"/>
          <w:lang w:val="en-US"/>
        </w:rPr>
      </w:pPr>
      <w:r w:rsidRPr="00321A4C">
        <w:rPr>
          <w:rFonts w:ascii="Times New Roman" w:hAnsi="Times New Roman" w:cs="Times New Roman"/>
          <w:sz w:val="24"/>
          <w:szCs w:val="24"/>
        </w:rPr>
        <w:t>Фокусът на инвестиционната подмярка е върху многофамилните жилищни сгради на територията на цялата страна. Следвайки изведената цел в Дългосрочната национална стратегия за подпомагане обновяването на националния сграден фонд от жилищни и нежилищни сгради (с хоризонт до 2050 г.) за обновяване на повече от 19 млн. кв. м. жилищна площ до 2030 г. инвестицията подкрепя икономически-целесъобразно обновяване на сградите, при което се постига минимум клас B на енергопотребление и най-малко 30% спестяване на първична енергия за обновените сгради. От изпълнението на подмярката се очаква да се постигнат следните резултати:</w:t>
      </w:r>
    </w:p>
    <w:p w14:paraId="00492975"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F01768">
        <w:rPr>
          <w:rFonts w:ascii="Times New Roman" w:hAnsi="Times New Roman" w:cs="Times New Roman"/>
          <w:sz w:val="24"/>
          <w:szCs w:val="24"/>
        </w:rPr>
        <w:t>- 3 688 900 кв. м подобрена разгъната застроена площ в</w:t>
      </w:r>
      <w:r w:rsidRPr="00321A4C">
        <w:rPr>
          <w:rFonts w:ascii="Times New Roman" w:hAnsi="Times New Roman" w:cs="Times New Roman"/>
          <w:sz w:val="24"/>
          <w:szCs w:val="24"/>
        </w:rPr>
        <w:t xml:space="preserve"> многофамилни жилищни сгради; </w:t>
      </w:r>
    </w:p>
    <w:p w14:paraId="11C81ECF"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sz w:val="24"/>
          <w:szCs w:val="24"/>
        </w:rPr>
        <w:t xml:space="preserve">- 405 GWh/год. понижаване на потреблението на първична енергия; </w:t>
      </w:r>
    </w:p>
    <w:p w14:paraId="4552B29B"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sz w:val="24"/>
          <w:szCs w:val="24"/>
        </w:rPr>
        <w:t>- 79 ktCO</w:t>
      </w:r>
      <w:r w:rsidRPr="00AB7082">
        <w:rPr>
          <w:rFonts w:ascii="Times New Roman" w:hAnsi="Times New Roman" w:cs="Times New Roman"/>
          <w:sz w:val="24"/>
          <w:szCs w:val="24"/>
          <w:vertAlign w:val="subscript"/>
        </w:rPr>
        <w:t>2</w:t>
      </w:r>
      <w:r w:rsidRPr="00321A4C">
        <w:rPr>
          <w:rFonts w:ascii="Times New Roman" w:hAnsi="Times New Roman" w:cs="Times New Roman"/>
          <w:sz w:val="24"/>
          <w:szCs w:val="24"/>
        </w:rPr>
        <w:t>/год. намаляване на емисиите на парникови газове (килотонове CO</w:t>
      </w:r>
      <w:r w:rsidRPr="00AB7082">
        <w:rPr>
          <w:rFonts w:ascii="Times New Roman" w:hAnsi="Times New Roman" w:cs="Times New Roman"/>
          <w:sz w:val="24"/>
          <w:szCs w:val="24"/>
          <w:vertAlign w:val="subscript"/>
        </w:rPr>
        <w:t>2</w:t>
      </w:r>
      <w:r w:rsidRPr="00321A4C">
        <w:rPr>
          <w:rFonts w:ascii="Times New Roman" w:hAnsi="Times New Roman" w:cs="Times New Roman"/>
          <w:sz w:val="24"/>
          <w:szCs w:val="24"/>
        </w:rPr>
        <w:t xml:space="preserve"> екв); </w:t>
      </w:r>
    </w:p>
    <w:p w14:paraId="109AD07D"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sz w:val="24"/>
          <w:szCs w:val="24"/>
        </w:rPr>
        <w:t xml:space="preserve">- Постигане на минимум 30% спестявания на първична енергия за всяка сграда при спазването на „принципа за ненанасяне на значителни вреди“ (2021/C58/01 по смисъла на член 17 от Регламент (ЕС) 2020/852); </w:t>
      </w:r>
    </w:p>
    <w:p w14:paraId="1E3D11D8"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sz w:val="24"/>
          <w:szCs w:val="24"/>
        </w:rPr>
        <w:t xml:space="preserve">- Достигане на клас на енергопотребление „В“ или по-висок клас за всяка сграда, обект на интервенция след прилагане на енергоспестяващи мерки; </w:t>
      </w:r>
    </w:p>
    <w:p w14:paraId="27E25B6B"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sz w:val="24"/>
          <w:szCs w:val="24"/>
        </w:rPr>
        <w:lastRenderedPageBreak/>
        <w:t xml:space="preserve">- Принос за изпълнение на целите на Дългосрочната национална стратегия за подпомагане обновяването на националния сграден фонд от жилищни и нежилищни сгради до 2050 г. – към 2030 г.; </w:t>
      </w:r>
    </w:p>
    <w:p w14:paraId="31D9EA71"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sz w:val="24"/>
          <w:szCs w:val="24"/>
        </w:rPr>
        <w:t xml:space="preserve">- Осигуряване на по-добро качество на въздуха, условия за живот и работна среда в съответствие с критериите за устойчиво развитие; </w:t>
      </w:r>
    </w:p>
    <w:p w14:paraId="1003D156"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sz w:val="24"/>
          <w:szCs w:val="24"/>
        </w:rPr>
        <w:t xml:space="preserve">- Подобряване на експлоатационните характеристики за удължаване на жизнения цикъл на сградите. </w:t>
      </w:r>
    </w:p>
    <w:p w14:paraId="7D829360"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sz w:val="24"/>
          <w:szCs w:val="24"/>
        </w:rPr>
        <w:t xml:space="preserve">Дейностите по подмярката са осъществяват на територията на цялата страна, в 28 области и 265 общини. Разпределянето на средствата се извършва въз основа на процедура за подбор на предложения за изпълнение на инвестицията като критериите за оценка са свързани с количеството спестена първична енергия и въглеродни емисии, с броя на самостоятелните обекти в кандидатстващата сграда, ефективност на инвестицията за енергийна ефективност, нивото на ангажираност на членовете на етажната собственост и др. </w:t>
      </w:r>
    </w:p>
    <w:p w14:paraId="155CC07D"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sz w:val="24"/>
          <w:szCs w:val="24"/>
        </w:rPr>
        <w:t xml:space="preserve">Договореното финансиране за изпълнение на подмярка „Подкрепа за устойчиво енергийно обновяване на жилищния сграден фонд“ е с максимален размер до 1 189 503 129.00 лв. от Механизма за възстановяване и устойчивост съгласно Националния план за възстановяване и устойчивост на Република България и до 236 226 509.00 лв. национално публично финансиране за невъзстановим данък, съгласно Закона за данъка върху добавената стойност, дължим за изпълнение на дейностите по подмярката. </w:t>
      </w:r>
    </w:p>
    <w:p w14:paraId="22514391" w14:textId="77777777" w:rsidR="0083664A" w:rsidRDefault="00741F81" w:rsidP="00321A4C">
      <w:pPr>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sz w:val="24"/>
          <w:szCs w:val="24"/>
        </w:rPr>
        <w:t>Към настоящият момоент са обявени процедури за набиране проектни предложения BG-RRP-4.023 „Подкрепа за устойчиво енергийно обновяване на жилищния сграден фонд -етап I“ и BG-RRP-4.024 „Подкрепа за устойчиво енергийно обновяване на жилищния сграден фонд -етап II“, като оценката на проектните предложения не е приключила и не са сключени договори за предоставяне на БФП. След сключване на договорите за БФП ще може да бъде предоставена информация относно очакваните спестявание на първична невъзобновяема енергия и намаляване на емисии на парникови газове.</w:t>
      </w:r>
    </w:p>
    <w:p w14:paraId="2299E872" w14:textId="77777777" w:rsidR="00F01768" w:rsidRPr="00490E63" w:rsidRDefault="00F01768" w:rsidP="00321A4C">
      <w:pPr>
        <w:spacing w:after="0" w:line="276" w:lineRule="auto"/>
        <w:ind w:firstLine="709"/>
        <w:jc w:val="both"/>
        <w:rPr>
          <w:rFonts w:ascii="Times New Roman" w:hAnsi="Times New Roman" w:cs="Times New Roman"/>
          <w:sz w:val="24"/>
          <w:szCs w:val="24"/>
          <w:lang w:val="en-US"/>
        </w:rPr>
      </w:pPr>
    </w:p>
    <w:p w14:paraId="05771DEE"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b/>
          <w:bCs/>
          <w:color w:val="000000"/>
          <w:sz w:val="24"/>
          <w:szCs w:val="24"/>
        </w:rPr>
        <w:t xml:space="preserve">Национална програма за енергийна ефективност на многофамилни жилищни сгради </w:t>
      </w:r>
    </w:p>
    <w:p w14:paraId="45C3F5FF"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През 2015 г. българското правителство прие Национална програма за енергийна ефективност на многофамилни жилищни сгради (НПЕЕМЖС), насочена към обновяване на многофамилни жилищни сгради, чрез изпълнение на мерки за ЕЕ. </w:t>
      </w:r>
    </w:p>
    <w:p w14:paraId="09C11CDE"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Основната цел на Програмата е чрез изпълнение на мерки по ЕЕ да се осигурят по-добри условия на живот за гражданите в многофамилни жилищни сгради, топлинен комфорт и по-високо качество на жизнената среда. В рамките на Програмата се предоставя финансова и организационна помощ на сдружения на собственици, регистрирани по реда на Закона за управление на етажната собственост, в многофамилни жилищни сгради за подобряване на ЕЕ на сградите, в които живеят. </w:t>
      </w:r>
    </w:p>
    <w:p w14:paraId="507D3355"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lastRenderedPageBreak/>
        <w:t>Допустими за участие по Програмата са всичките 265 общини на територията на Република България, като дейности са осъществявани в рамките на 143 общини</w:t>
      </w:r>
      <w:r w:rsidRPr="00321A4C">
        <w:rPr>
          <w:rFonts w:ascii="Times New Roman" w:hAnsi="Times New Roman" w:cs="Times New Roman"/>
          <w:i/>
          <w:iCs/>
          <w:color w:val="000000"/>
          <w:sz w:val="24"/>
          <w:szCs w:val="24"/>
        </w:rPr>
        <w:t xml:space="preserve">. </w:t>
      </w:r>
    </w:p>
    <w:p w14:paraId="6E27370B"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Програмата се реализира с финансов ресурс от 2 млрд. лв. – национални средства, част от които са получени от заеми на Българска банка за развитие с държавни гаранции. При осигуряване на допълнителни средства финансовият ресурс по Програмата може да бъде увеличен. </w:t>
      </w:r>
    </w:p>
    <w:p w14:paraId="717781CD"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допълнение за завършването на 52 сгради, за чието завършване не достигна ресурс по линия на НПЕЕМЖС по бюджета на МРРБ ще бъдат осигурени допълнително близо 92 млн. лв. </w:t>
      </w:r>
    </w:p>
    <w:p w14:paraId="10BB8964" w14:textId="77777777" w:rsidR="0083664A" w:rsidRPr="00321A4C" w:rsidRDefault="00741F81" w:rsidP="00321A4C">
      <w:pPr>
        <w:spacing w:after="0" w:line="276" w:lineRule="auto"/>
        <w:ind w:firstLine="709"/>
        <w:jc w:val="both"/>
        <w:rPr>
          <w:rFonts w:ascii="Times New Roman" w:hAnsi="Times New Roman" w:cs="Times New Roman"/>
          <w:color w:val="FF0000"/>
          <w:sz w:val="24"/>
          <w:szCs w:val="24"/>
          <w:lang w:val="en-US"/>
        </w:rPr>
      </w:pPr>
      <w:r w:rsidRPr="00321A4C">
        <w:rPr>
          <w:rFonts w:ascii="Times New Roman" w:hAnsi="Times New Roman" w:cs="Times New Roman"/>
          <w:color w:val="000000"/>
          <w:sz w:val="24"/>
          <w:szCs w:val="24"/>
        </w:rPr>
        <w:t>След изпълнението на мерките за обновяване на всички сгради по НПЕЕМЖС се очакват следните резултати:</w:t>
      </w:r>
    </w:p>
    <w:p w14:paraId="059274CF" w14:textId="77777777" w:rsidR="00490E63" w:rsidRPr="00490E63" w:rsidRDefault="00490E63" w:rsidP="00321A4C">
      <w:pPr>
        <w:autoSpaceDE w:val="0"/>
        <w:autoSpaceDN w:val="0"/>
        <w:adjustRightInd w:val="0"/>
        <w:spacing w:after="0" w:line="276" w:lineRule="auto"/>
        <w:ind w:firstLine="709"/>
        <w:jc w:val="both"/>
        <w:rPr>
          <w:rFonts w:ascii="Times New Roman" w:hAnsi="Times New Roman" w:cs="Times New Roman"/>
          <w:i/>
          <w:iCs/>
          <w:sz w:val="24"/>
          <w:szCs w:val="24"/>
        </w:rPr>
      </w:pPr>
    </w:p>
    <w:p w14:paraId="5E97D482" w14:textId="77777777" w:rsidR="00741F81" w:rsidRPr="00490E63"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490E63">
        <w:rPr>
          <w:rFonts w:ascii="Times New Roman" w:hAnsi="Times New Roman" w:cs="Times New Roman"/>
          <w:i/>
          <w:iCs/>
          <w:sz w:val="24"/>
          <w:szCs w:val="24"/>
        </w:rPr>
        <w:t xml:space="preserve">ii. Дългосрочна стратегия за саниране с цел саниране на националния сграден фонд от жилищни и нежилищни сгради (обществени и частни), включително политики, мерки и действия за насърчаване на разходноефективно основно саниране и политики и действия, насочени към сегментите от националния сграден фонд с най-лоши характеристики, в съответствие с член 2а от Директива 2010/31/ЕС </w:t>
      </w:r>
    </w:p>
    <w:p w14:paraId="01C0589F"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За постигането на високо енергийноефективен и декарбонизиран сграден фонд е разработена Дългосрочна национална стратегия за подпомагане обновяването на националния сграден фонд от жилищни и нежилищни сгради до 2050 г. (Стратегията). Целта на Стратегията е съществено да се допринесе за постигането енергийно високо ефективен и декaрбонизиран сграден сектор чрез извършване до 2050 г. на обновяване на националния фонд от жилищни и нежилищни сгради и подпомогне модернизацията на всички сгради с интелигентни технологии. </w:t>
      </w:r>
    </w:p>
    <w:p w14:paraId="4B1473A0" w14:textId="77777777" w:rsidR="00741F81" w:rsidRPr="00321A4C" w:rsidRDefault="00741F81" w:rsidP="00321A4C">
      <w:pPr>
        <w:pStyle w:val="Default"/>
        <w:spacing w:line="276" w:lineRule="auto"/>
        <w:ind w:firstLine="709"/>
        <w:jc w:val="both"/>
        <w:rPr>
          <w:lang w:val="bg-BG"/>
        </w:rPr>
      </w:pPr>
      <w:r w:rsidRPr="00321A4C">
        <w:t xml:space="preserve">Стратегията предвижда до 2050 г. да бъдат обновени 60% от жилищния сграден фонд и близо 17% от нежилищния, което ще доведе до спестяване на енергия в размер на 7 329 GWh/г. Спестяването на енергия се очаква да доведе до намаляване емисиите на парникови газове с 3 274 453 тона СО2. В допълнение към спестяването на енергия и намаляването на емисиите на СО2 изпълнението на Стратегията ще доведе до </w:t>
      </w:r>
      <w:r w:rsidRPr="00321A4C">
        <w:rPr>
          <w:lang w:val="bg-BG"/>
        </w:rPr>
        <w:t xml:space="preserve">създаването и поддържането на 17 600 нови работни места и допълнителен годишен ръст на БВП от 557 млн лв към 2030 г. за периода 2021-2030 г. </w:t>
      </w:r>
    </w:p>
    <w:p w14:paraId="6AA48CE1"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Стратегията предвижда мерки за строителство на нови сгради и трансформиране на съществуващи в сгради с близко до нулево потребление на енергия, подобряване на енергийните характеристики на жилищните и нежилищните сгради и насърчаване въвеждането на интелигентни технологии в сградния сектор. </w:t>
      </w:r>
    </w:p>
    <w:p w14:paraId="45BD76B8"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Като основна финансова схема в подкрепа на Стратегия е предвидено създаването на национален декарбонизационен фонд. Фондът е предвидено да се състои от три отделни подфонда, според вида на крайните бенефициенти: Подфонд публичен сектор, Подфонд търговски дружества и Подфонд жилищни сгради. </w:t>
      </w:r>
    </w:p>
    <w:p w14:paraId="108048AA" w14:textId="77777777" w:rsidR="0083664A" w:rsidRPr="00BB087D" w:rsidRDefault="00741F81" w:rsidP="00321A4C">
      <w:pPr>
        <w:spacing w:after="0" w:line="276" w:lineRule="auto"/>
        <w:ind w:firstLine="709"/>
        <w:jc w:val="both"/>
        <w:rPr>
          <w:rFonts w:ascii="Times New Roman" w:hAnsi="Times New Roman" w:cs="Times New Roman"/>
          <w:sz w:val="24"/>
          <w:szCs w:val="24"/>
          <w:lang w:val="en-US"/>
        </w:rPr>
      </w:pPr>
      <w:r w:rsidRPr="00321A4C">
        <w:rPr>
          <w:rFonts w:ascii="Times New Roman" w:hAnsi="Times New Roman" w:cs="Times New Roman"/>
          <w:color w:val="000000"/>
          <w:sz w:val="24"/>
          <w:szCs w:val="24"/>
        </w:rPr>
        <w:lastRenderedPageBreak/>
        <w:t>В Стратегията е заложена пътна карта, в която са определени етапните цели на процеса на обновяване на сградния фонд на Република България за следните периоди: 2021-2030 г., 2031-2040 г. и 2041-2050 г.</w:t>
      </w:r>
    </w:p>
    <w:p w14:paraId="247050BD" w14:textId="77777777" w:rsidR="00490E63" w:rsidRPr="00490E63" w:rsidRDefault="00490E63" w:rsidP="00321A4C">
      <w:pPr>
        <w:autoSpaceDE w:val="0"/>
        <w:autoSpaceDN w:val="0"/>
        <w:adjustRightInd w:val="0"/>
        <w:spacing w:after="0" w:line="276" w:lineRule="auto"/>
        <w:ind w:firstLine="709"/>
        <w:jc w:val="both"/>
        <w:rPr>
          <w:rFonts w:ascii="Times New Roman" w:hAnsi="Times New Roman" w:cs="Times New Roman"/>
          <w:i/>
          <w:iCs/>
          <w:sz w:val="24"/>
          <w:szCs w:val="24"/>
        </w:rPr>
      </w:pPr>
    </w:p>
    <w:p w14:paraId="03D6383B" w14:textId="77777777" w:rsidR="00741F81" w:rsidRPr="00490E63"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490E63">
        <w:rPr>
          <w:rFonts w:ascii="Times New Roman" w:hAnsi="Times New Roman" w:cs="Times New Roman"/>
          <w:i/>
          <w:iCs/>
          <w:sz w:val="24"/>
          <w:szCs w:val="24"/>
        </w:rPr>
        <w:t xml:space="preserve">iii. Описание на политиката и мерките за насърчаване на енергийните услуги в публичния сектор с цел премахване на регулаторните и нерегулаторните пречки, които възпрепятстват разпространението на договорите за енергоспестяване с гарантиран резултат и на други модели на услуги за енергийна ефективност </w:t>
      </w:r>
    </w:p>
    <w:p w14:paraId="4C37F38B"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Предоставянето на енергийноефективни услуги е регламентирано в ЗЕЕ. Съгласно ЗЕЕ енергийноефективните услуги имат за цел комбиниране доставката на енергия с енергийноефективна технология и/или с действие, което обхваща експлоатацията, поддръжката и управлението, необходими за предоставяне на услугата, и водят до проверимо, измеримо или оценимо повишаване на ЕЕ и/или спестяване на първични енергийни ресурси. Енергийноефективни услуги се извършват въз основа на писмени договори, сключени с крайните потребители на енергия. ЗЕЕ също така определя и лицата, които могат да извършват енергийноефективни услуги – физически или юридически лица – търговци по смисъла на Търговския закон или по смисъла на законодателство на държава-членка на Европейския съюз, или на друга държава – страна по Споразумението за Европейското икономическо пространство. </w:t>
      </w:r>
    </w:p>
    <w:p w14:paraId="1986F99C"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Съществена роля за стимулиране на пазара на енергийноефективни услуги има изпълнението на договори с гарантиран резултат (ЕСКО). При тези договори възстановяването на направените инвестиции и изплащането на дължимото възнаграждение на доставчиците (ЕСКО компаниите) се извършват за сметка на реализираните спестявания на енергия. Те дават гаранция за своето изпълнение, респективно за спестяванията, които ще бъдат реализирани след изпълнението на проекта. </w:t>
      </w:r>
    </w:p>
    <w:p w14:paraId="6A228E8A"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България е приет Европейският професионален кодекс за договори с гарантиран резултат. Кодексът е създаден в рамките на проект „Повишаване прозрачността на пазарите за енергийни услуги (Transparense)“, финансиран от ЕК по Програма "Интелигентна енергия за Европа". Той е съвкупност от ценности и принципи, необходими за успешната подготовка и изпълнение на проекти в областта на ЕСКО договор в европейските страни и определя принципите за поведение най-вече на доставчиците по ЕСКО договор. Двете европейски ЕСКО асоциации (eu.ESCO и EFIEES) официално са одобрили Кодекса и подкрепят прилагането му. Свързаните с Кодекса документи могат да бъдат намерени на Интернет страницата на Националния администратор на Кодекса. </w:t>
      </w:r>
    </w:p>
    <w:p w14:paraId="4AC33F2A" w14:textId="77777777" w:rsidR="006A1393" w:rsidRPr="00BB087D" w:rsidRDefault="00741F81" w:rsidP="00321A4C">
      <w:pPr>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color w:val="000000"/>
          <w:sz w:val="24"/>
          <w:szCs w:val="24"/>
        </w:rPr>
        <w:t xml:space="preserve">В рамките на проект, финансиран по Оперативна програма „Иновации и конкурентоспособност“ 2014-2020 г., беше разработен типов ЕСКО договор за сектор Индустрия, указания за изготвяне на ЕСКО договори, с цел да бъдат улеснени договарящите се страни, по ЕСКО договор, с минимален набор от типови клаузи. Към типовия договор са изготвени и примерен договор, както и методика за оценка на спестената енергия по ЕСКО </w:t>
      </w:r>
      <w:r w:rsidRPr="00321A4C">
        <w:rPr>
          <w:rFonts w:ascii="Times New Roman" w:hAnsi="Times New Roman" w:cs="Times New Roman"/>
          <w:color w:val="000000"/>
          <w:sz w:val="24"/>
          <w:szCs w:val="24"/>
        </w:rPr>
        <w:lastRenderedPageBreak/>
        <w:t>договор, индикативна количествено-стойностна сметка и погасителен план-график. Всички изготвени документи са публикувани на интернет страницата на АУЕР.</w:t>
      </w:r>
    </w:p>
    <w:p w14:paraId="3F5B11D6"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За насърчаване на енергийноефективните услуги с извършени промени в ЗЕЕ се регламентира възможностите за събиране и изплащане на стойността на предоставени енергийноефективни услуги на крайни клиенти чрез доставчика на енергия или природен газ. </w:t>
      </w:r>
    </w:p>
    <w:p w14:paraId="23C827F2" w14:textId="77777777" w:rsidR="00490E63" w:rsidRPr="00490E63" w:rsidRDefault="00490E63" w:rsidP="00321A4C">
      <w:pPr>
        <w:autoSpaceDE w:val="0"/>
        <w:autoSpaceDN w:val="0"/>
        <w:adjustRightInd w:val="0"/>
        <w:spacing w:after="0" w:line="276" w:lineRule="auto"/>
        <w:ind w:firstLine="709"/>
        <w:jc w:val="both"/>
        <w:rPr>
          <w:rFonts w:ascii="Times New Roman" w:hAnsi="Times New Roman" w:cs="Times New Roman"/>
          <w:i/>
          <w:iCs/>
          <w:sz w:val="24"/>
          <w:szCs w:val="24"/>
        </w:rPr>
      </w:pPr>
    </w:p>
    <w:p w14:paraId="50B1234A" w14:textId="77777777" w:rsidR="00741F81" w:rsidRPr="00F96654" w:rsidRDefault="00741F81" w:rsidP="00F96654">
      <w:pPr>
        <w:autoSpaceDE w:val="0"/>
        <w:autoSpaceDN w:val="0"/>
        <w:adjustRightInd w:val="0"/>
        <w:spacing w:after="0" w:line="276" w:lineRule="auto"/>
        <w:ind w:firstLine="709"/>
        <w:jc w:val="both"/>
        <w:rPr>
          <w:rFonts w:ascii="Times New Roman" w:hAnsi="Times New Roman" w:cs="Times New Roman"/>
          <w:i/>
          <w:iCs/>
          <w:sz w:val="24"/>
          <w:szCs w:val="24"/>
        </w:rPr>
      </w:pPr>
      <w:r w:rsidRPr="00490E63">
        <w:rPr>
          <w:rFonts w:ascii="Times New Roman" w:hAnsi="Times New Roman" w:cs="Times New Roman"/>
          <w:i/>
          <w:iCs/>
          <w:sz w:val="24"/>
          <w:szCs w:val="24"/>
        </w:rPr>
        <w:t xml:space="preserve">iv. Други планирани политики, мерки и програми за постигане на ориентировъчните национални приноси по отношение на енергийна ефективност за 2030 г., както и другите цели, посочени в точка </w:t>
      </w:r>
      <w:r w:rsidR="00F96654">
        <w:rPr>
          <w:rFonts w:ascii="Times New Roman" w:hAnsi="Times New Roman" w:cs="Times New Roman"/>
          <w:i/>
          <w:iCs/>
          <w:sz w:val="24"/>
          <w:szCs w:val="24"/>
        </w:rPr>
        <w:t xml:space="preserve">1.2.1.2. </w:t>
      </w:r>
      <w:r w:rsidR="00564CF7" w:rsidRPr="00564CF7">
        <w:rPr>
          <w:rFonts w:ascii="Times New Roman" w:hAnsi="Times New Roman" w:cs="Times New Roman"/>
          <w:bCs/>
          <w:i/>
          <w:sz w:val="24"/>
          <w:szCs w:val="24"/>
        </w:rPr>
        <w:t>Измерение „Енергийна ефективност“</w:t>
      </w:r>
      <w:r w:rsidRPr="00490E63">
        <w:rPr>
          <w:rFonts w:ascii="Times New Roman" w:hAnsi="Times New Roman" w:cs="Times New Roman"/>
          <w:i/>
          <w:iCs/>
          <w:sz w:val="24"/>
          <w:szCs w:val="24"/>
        </w:rPr>
        <w:t xml:space="preserve"> (като например мерки за насърчаване обществените сгради да служат за пример за енергийно-ефективни обществени поръчки, мерки за насърчаване на енергийни обследвания и системи за управление на енергията , мерки за информиране и обучаване на потребителите, както и други мерки за насърчаване на енергийната ефективност) </w:t>
      </w:r>
    </w:p>
    <w:p w14:paraId="36A3A673"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Принос с изпълнение на инвестиции за енергийна ефективност по стълб „Зелена България“, компонент „Нисковъглеродна икономика“ на НПВУ. По инвестиция „Енергийна ефективност в сграден фонд“ чрез изпълнение на мерки за подкрепа за устойчиво енергийно обновяване на жилищния сграден фонд и мерки за подкрепа за устойчиво енергийно обновяване на нежилищния сграден фонд. Обявени са процедури за кандидатстване с проектни предложения: </w:t>
      </w:r>
    </w:p>
    <w:p w14:paraId="3F355814"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BG-RRP-4.020 Подкрепа за устойчиво енергийно обновяване на публичен сграден фонд за административно обслужване, култура и спорт. Обхваща мерки за енергийно обновяване на държавни и общински сгради за административно обслужване, сгради за обществено обслужване в областта на културата и изкуството и сгради за спорт. Процедурата е в процес на оценка; </w:t>
      </w:r>
    </w:p>
    <w:p w14:paraId="7C80C9FC"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BG-RRP-4.021 - Подкрепа за енергийно обновяване на сгради в сферата на производството, търговията и услугите- мерки за енергийно обновяване на сгради в сферата на производството, търговията и услугите, включително на сгради от сектор туризъм. Процедурата е в процес на кандидатстване с проектни предложения; </w:t>
      </w:r>
    </w:p>
    <w:p w14:paraId="73D1B6C3"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BG-RRP-4.022 Повишаване на енергийната ефективност в публични сгради на Българска академия на науките. Енергийно обновяване на част от сградния фонд, собственост на Българската академия на науките. Процедурата е в процес на кандидатстване с проектни предложения; </w:t>
      </w:r>
    </w:p>
    <w:p w14:paraId="4F5D5E89" w14:textId="77777777" w:rsidR="00741F81" w:rsidRPr="00321A4C" w:rsidRDefault="00741F81" w:rsidP="00321A4C">
      <w:pPr>
        <w:pStyle w:val="Default"/>
        <w:spacing w:line="276" w:lineRule="auto"/>
        <w:ind w:firstLine="709"/>
        <w:jc w:val="both"/>
        <w:rPr>
          <w:lang w:val="bg-BG"/>
        </w:rPr>
      </w:pPr>
      <w:r w:rsidRPr="00321A4C">
        <w:t xml:space="preserve">По Компонент 8 „Устойчив транспорт“ на НПВУ, ИНВЕСТИЦИЯ C8.I7 „Екологосъобразна мобилност – пилотна схема за подкрепа на устойчивата градска мобилност“, процедура BG-RRP-8.013 „Екологосъобразна мобилност“ - Мерки в подкрепа на устойчивата градска мобилност чрез за развитие на екологични, безопасни, функционални и енергийно ефективни транспортни системи; създаване на обществен транспорт с по-малко потребление на енергия, което ще доведе до спестяване на публичен ресурс; ефективна свързаност между градските и селските райони, чрез партньорства при </w:t>
      </w:r>
      <w:r w:rsidRPr="00321A4C">
        <w:lastRenderedPageBreak/>
        <w:t xml:space="preserve">наличието на идентифицирани проекти/приоритети в Плановете за </w:t>
      </w:r>
      <w:r w:rsidRPr="00321A4C">
        <w:rPr>
          <w:lang w:val="bg-BG"/>
        </w:rPr>
        <w:t xml:space="preserve">интегрирано развитие на общините (ПИРО) и в Интегрираните териториални стратегии за развитие на регионите от ниво NUTS 2, както и съответствие с Плановете за устойчива градска мобилност (интегрирани в ПИРО или актуализирани в съответствие с ПИРО). Процедурата е в процес на кандидатстване с проектни предложения. </w:t>
      </w:r>
    </w:p>
    <w:p w14:paraId="4C0085CF"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Към момента (2023 г.) по затворените за кандидатстване процедури се извършва оценка на постъпилите проектни предложения. Следва сключване на договори и изпълнение в съответствие с предварителните условия по прцедурите. Целта е постигане на залегналите в инвестициите индикатори и резултати и приноса от изпълнението им към целите на НПВУ. </w:t>
      </w:r>
    </w:p>
    <w:p w14:paraId="4B1A4072"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За постигането на определената националните цели за енергийна ефективност до 2030 г. ще бъдат прилагани съществуващи, а така също и допълнителни политики и мерки: </w:t>
      </w:r>
    </w:p>
    <w:p w14:paraId="492744FB" w14:textId="77777777" w:rsidR="00741F81" w:rsidRPr="00490E63" w:rsidRDefault="00741F81" w:rsidP="004F15F5">
      <w:pPr>
        <w:pStyle w:val="ListParagraph"/>
        <w:numPr>
          <w:ilvl w:val="0"/>
          <w:numId w:val="35"/>
        </w:numPr>
        <w:autoSpaceDE w:val="0"/>
        <w:autoSpaceDN w:val="0"/>
        <w:adjustRightInd w:val="0"/>
        <w:spacing w:after="0" w:line="276" w:lineRule="auto"/>
        <w:jc w:val="both"/>
        <w:rPr>
          <w:rFonts w:ascii="Times New Roman" w:hAnsi="Times New Roman" w:cs="Times New Roman"/>
          <w:color w:val="000000"/>
          <w:sz w:val="24"/>
          <w:szCs w:val="24"/>
        </w:rPr>
      </w:pPr>
      <w:r w:rsidRPr="00490E63">
        <w:rPr>
          <w:rFonts w:ascii="Times New Roman" w:hAnsi="Times New Roman" w:cs="Times New Roman"/>
          <w:b/>
          <w:bCs/>
          <w:color w:val="000000"/>
          <w:sz w:val="24"/>
          <w:szCs w:val="24"/>
        </w:rPr>
        <w:t xml:space="preserve">Насърчаване обществените сгради да служат за пример </w:t>
      </w:r>
    </w:p>
    <w:p w14:paraId="028E3CC9"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Съгласно разпоредбите на Директива 2010/31/ЕС и Директива 2012/27/ЕС, публичните органи на национално, регионално и местно ниво следва да служат за пример по отношение на енергийната ефективност. В тази връзка Република България е определила по-амбициозна цел за обновяване на сградите, притежавани и ползвани от централната администрация като законовото изискване, заложено в чл. 23, ал. 1 от ЗЕЕ, е във всички отоплявани и/или охлаждани сгради – държавна собственост, използвани от държавната администрация ежегодно да се предприемат мерки за подобряване на енергийните характеристики на поне 5% от общата РЗП. В основата на съображенията за налагане на по-амбициозна цел стои освен необходимостта от намаляване на енергийното потребление в сградите, поради въздействието му в дългосрочен план, но и стимулиращата роля на сградите, притежавани от публични органи, тъй като те представляват значителен дял от сградния фонд и са с висока степен на видимост в публичния живот. </w:t>
      </w:r>
    </w:p>
    <w:p w14:paraId="25BE9834"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допълнение за подпомагане на целите за постигане на високо ефективен и декарбонизиран сграден фонд ще се предприемат следните мерки: </w:t>
      </w:r>
    </w:p>
    <w:p w14:paraId="1BE1CAAD"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Периодичен преглед на минималните изисквания за енергийни характеристики на сградите при използване на оптимални разходи и хармонизиране на техническите изисквания за проектиране, изграждане и експлоатация на стабилни, здравословни, високотехнологични и енергийно ефективни сгради, отговарящи на европейските стандарти и законодателство в тази област. Подобряване на жизнения цикъл на сградите за периода 2015 – 2030 г. </w:t>
      </w:r>
    </w:p>
    <w:p w14:paraId="402919C7"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Научноизследователска дейност в областта на енергийната ефективност на сградите, чрез приложни научни изследвания за осигуряване на научна основа на стандартите за енергийна ефективност на сградите, за периода 2015 – 2030 г. </w:t>
      </w:r>
    </w:p>
    <w:p w14:paraId="03CEB359" w14:textId="77777777" w:rsidR="00741F81" w:rsidRPr="00321A4C" w:rsidRDefault="00741F81" w:rsidP="00F01768">
      <w:pPr>
        <w:pStyle w:val="Default"/>
        <w:spacing w:line="276" w:lineRule="auto"/>
        <w:ind w:firstLine="709"/>
        <w:jc w:val="both"/>
      </w:pPr>
      <w:r w:rsidRPr="00321A4C">
        <w:t xml:space="preserve">• Подобряване на условията за включване в строителните дейности на продукти, гарантиращи изпълнението на основните изисквания, съгласно Регламент (ЕС) № 305/2011 на Европейския парламент и на Съвета от 9 март 2011 година за определяне на хармонизирани условия за предлагането на пазара на строителни продукти и за отмяна на </w:t>
      </w:r>
      <w:r w:rsidRPr="00321A4C">
        <w:lastRenderedPageBreak/>
        <w:t xml:space="preserve">Директива 89/106/ЕИО на Съвета Текст от значение за ЕИП и Регламент (ЕС) 2019/515 на Европейския парламент и на Съвета от 19 март 2019 година относно взаимното признаване на стоки, законно предлагани на пазара в друга държава членка, и за отмяна на Регламент (ЕО) № 764/2008. Разработване на национални изисквания за строителни продукти, хармонизирани с европейското техническо законодателство, включително спестяване на енергия и съхранение на топлина, устойчиво използване на природните ресурси, рециклиране и повторно използване на строителни продукти, за периода 2015 - 2030 г. </w:t>
      </w:r>
    </w:p>
    <w:p w14:paraId="2BC31ED2"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Подобряване на функционалността на контактната точка за строителни продукти (КТСП) съгласно Регламент (ЕС) 305/2011 и Регламент (ЕС) 2019/515 и подобряване на условията за свободно движение на строителни продукти чрез надграждане и поддържане на информационната платформа за КТСП, в периода 2015 – 2030 г. </w:t>
      </w:r>
    </w:p>
    <w:p w14:paraId="77822EAF" w14:textId="77777777" w:rsidR="00741F81"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Стартиране и изпълнение на цифровата реформа на българския строителен сектор, в периода 2021 – 2030 г.: </w:t>
      </w:r>
    </w:p>
    <w:p w14:paraId="5845EBF4" w14:textId="77777777" w:rsidR="00741F81" w:rsidRPr="00321A4C" w:rsidRDefault="00741F81" w:rsidP="00490E63">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0D79DD90" w14:textId="77777777" w:rsidR="00741F81" w:rsidRPr="00490E63" w:rsidRDefault="00741F81" w:rsidP="004F15F5">
      <w:pPr>
        <w:pStyle w:val="ListParagraph"/>
        <w:numPr>
          <w:ilvl w:val="0"/>
          <w:numId w:val="35"/>
        </w:numPr>
        <w:autoSpaceDE w:val="0"/>
        <w:autoSpaceDN w:val="0"/>
        <w:adjustRightInd w:val="0"/>
        <w:spacing w:after="0" w:line="276" w:lineRule="auto"/>
        <w:jc w:val="both"/>
        <w:rPr>
          <w:rFonts w:ascii="Times New Roman" w:hAnsi="Times New Roman" w:cs="Times New Roman"/>
          <w:color w:val="000000"/>
          <w:sz w:val="24"/>
          <w:szCs w:val="24"/>
        </w:rPr>
      </w:pPr>
      <w:r w:rsidRPr="00490E63">
        <w:rPr>
          <w:rFonts w:ascii="Times New Roman" w:hAnsi="Times New Roman" w:cs="Times New Roman"/>
          <w:b/>
          <w:bCs/>
          <w:color w:val="000000"/>
          <w:sz w:val="24"/>
          <w:szCs w:val="24"/>
        </w:rPr>
        <w:t xml:space="preserve">Енергийно-ефективни обществени поръчки </w:t>
      </w:r>
    </w:p>
    <w:p w14:paraId="1735A2B3"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Съгласно чл. 30а от ЗЕЕ при провеждане на обществени поръчки публичните възложители закупуват само продукти, услуги и сгради с високи показатели за енергийна ефективност, в т.ч.: </w:t>
      </w:r>
    </w:p>
    <w:p w14:paraId="7FAF6824"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1. продукти, отговарящи на критерия за принадлежност към най-високия възможен клас на енергийна ефективност; </w:t>
      </w:r>
    </w:p>
    <w:p w14:paraId="073B3959"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2. офис оборудване, определено и отговарящо на изискванията на приложение „B" на Споразумението между правителството на Съединените американски щати и Европейския съюз за координирането на програми за етикетиране на енергийната ефективност на офис оборудване (ОВ, L 63/7 от 6 март 2013 г.); </w:t>
      </w:r>
    </w:p>
    <w:p w14:paraId="0613C003"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3. автомобилни гуми, които отговарят на критерия за най-висок клас енергийна ефективност на използване на горивата, както е определено в Регламент (ЕО) № 1222/2009 на Европейския парламент и на Съвета от 25 ноември 2009 г. относно етикетирането на гуми по отношение на горивната ефективност и други съществени параметри (ОВ, L 342/46 от 22 декември 2009 г.), наричан по-нататък „Регламент (ЕО) № 1222/2009"; </w:t>
      </w:r>
    </w:p>
    <w:p w14:paraId="3EB9DACD"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4. сгради, които отговарят на минималните изисквания за енергийни характеристики, удостоверено със сертификат за енергийни характеристики. </w:t>
      </w:r>
    </w:p>
    <w:p w14:paraId="7B0BCEA6"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0F03B0E4" w14:textId="77777777" w:rsidR="00741F81" w:rsidRPr="00490E63" w:rsidRDefault="00741F81" w:rsidP="004F15F5">
      <w:pPr>
        <w:pStyle w:val="ListParagraph"/>
        <w:numPr>
          <w:ilvl w:val="0"/>
          <w:numId w:val="51"/>
        </w:numPr>
        <w:autoSpaceDE w:val="0"/>
        <w:autoSpaceDN w:val="0"/>
        <w:adjustRightInd w:val="0"/>
        <w:spacing w:after="0" w:line="276" w:lineRule="auto"/>
        <w:jc w:val="both"/>
        <w:rPr>
          <w:rFonts w:ascii="Times New Roman" w:hAnsi="Times New Roman" w:cs="Times New Roman"/>
          <w:color w:val="000000"/>
          <w:sz w:val="24"/>
          <w:szCs w:val="24"/>
        </w:rPr>
      </w:pPr>
      <w:r w:rsidRPr="00490E63">
        <w:rPr>
          <w:rFonts w:ascii="Times New Roman" w:hAnsi="Times New Roman" w:cs="Times New Roman"/>
          <w:b/>
          <w:bCs/>
          <w:color w:val="000000"/>
          <w:sz w:val="24"/>
          <w:szCs w:val="24"/>
        </w:rPr>
        <w:t xml:space="preserve">Енергийни обследвания и системи за управление </w:t>
      </w:r>
    </w:p>
    <w:p w14:paraId="1BA5D49A"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На задължително обследване за енергийна ефективност подлежат всички: </w:t>
      </w:r>
    </w:p>
    <w:p w14:paraId="43D9CD25"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предприятия за производство, които не са малки и средни предприятия по смисъла на чл. 3 от Закона за малките и средните предприятия; </w:t>
      </w:r>
    </w:p>
    <w:p w14:paraId="159FDCEF"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предприятия за предоставяне на услуги, които не са малки и средни предприятия по смисъла на чл. 3 от Закона за малките и средните предприятия; </w:t>
      </w:r>
    </w:p>
    <w:p w14:paraId="30EB8428"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промишлени системи (ПС), чието годишно потребление на енергия е над 3000 МWh; </w:t>
      </w:r>
    </w:p>
    <w:p w14:paraId="5639C95F"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lastRenderedPageBreak/>
        <w:t xml:space="preserve">• системи за външно изкуствено осветление, разположени в населено място с население над 20 000 жители. </w:t>
      </w:r>
    </w:p>
    <w:p w14:paraId="01EF2F5C"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Обследването се извършва най-малко веднъж на всеки 4 години. </w:t>
      </w:r>
    </w:p>
    <w:p w14:paraId="4FF89AD6" w14:textId="77777777" w:rsidR="00BB087D" w:rsidRDefault="00BB087D"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0F58E95A"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В България е въведена система за обследване за енергийна ефективност и сертифициране на сгради в експлоатация с разгъната застроена площ (РЗП) над 250 m</w:t>
      </w:r>
      <w:r w:rsidRPr="00BB087D">
        <w:rPr>
          <w:rFonts w:ascii="Times New Roman" w:hAnsi="Times New Roman" w:cs="Times New Roman"/>
          <w:color w:val="000000"/>
          <w:sz w:val="24"/>
          <w:szCs w:val="24"/>
          <w:vertAlign w:val="superscript"/>
        </w:rPr>
        <w:t>2</w:t>
      </w:r>
      <w:r w:rsidRPr="00321A4C">
        <w:rPr>
          <w:rFonts w:ascii="Times New Roman" w:hAnsi="Times New Roman" w:cs="Times New Roman"/>
          <w:color w:val="000000"/>
          <w:sz w:val="24"/>
          <w:szCs w:val="24"/>
        </w:rPr>
        <w:t xml:space="preserve">, в изпълнение разпоредбите на Директива 2010/31/ЕС. Сертификатът за енергийни характеристики на сграда в експлоатация се актуализира при извършването на следните дейности, водещи до промяна на енергийните характеристики на сградата: </w:t>
      </w:r>
    </w:p>
    <w:p w14:paraId="60FCD17F" w14:textId="77777777" w:rsidR="00741F81" w:rsidRPr="006064AA" w:rsidRDefault="00741F81" w:rsidP="004F15F5">
      <w:pPr>
        <w:pStyle w:val="ListParagraph"/>
        <w:numPr>
          <w:ilvl w:val="0"/>
          <w:numId w:val="52"/>
        </w:numPr>
        <w:autoSpaceDE w:val="0"/>
        <w:autoSpaceDN w:val="0"/>
        <w:adjustRightInd w:val="0"/>
        <w:spacing w:after="0" w:line="276" w:lineRule="auto"/>
        <w:jc w:val="both"/>
        <w:rPr>
          <w:rFonts w:ascii="Times New Roman" w:hAnsi="Times New Roman" w:cs="Times New Roman"/>
          <w:color w:val="000000"/>
          <w:sz w:val="24"/>
          <w:szCs w:val="24"/>
        </w:rPr>
      </w:pPr>
      <w:r w:rsidRPr="006064AA">
        <w:rPr>
          <w:rFonts w:ascii="Times New Roman" w:hAnsi="Times New Roman" w:cs="Times New Roman"/>
          <w:color w:val="000000"/>
          <w:sz w:val="24"/>
          <w:szCs w:val="24"/>
        </w:rPr>
        <w:t xml:space="preserve">преустройство; </w:t>
      </w:r>
    </w:p>
    <w:p w14:paraId="5DFDF0FE" w14:textId="77777777" w:rsidR="00741F81" w:rsidRPr="006064AA" w:rsidRDefault="00741F81" w:rsidP="004F15F5">
      <w:pPr>
        <w:pStyle w:val="ListParagraph"/>
        <w:numPr>
          <w:ilvl w:val="0"/>
          <w:numId w:val="52"/>
        </w:numPr>
        <w:autoSpaceDE w:val="0"/>
        <w:autoSpaceDN w:val="0"/>
        <w:adjustRightInd w:val="0"/>
        <w:spacing w:after="0" w:line="276" w:lineRule="auto"/>
        <w:jc w:val="both"/>
        <w:rPr>
          <w:rFonts w:ascii="Times New Roman" w:hAnsi="Times New Roman" w:cs="Times New Roman"/>
          <w:color w:val="000000"/>
          <w:sz w:val="24"/>
          <w:szCs w:val="24"/>
        </w:rPr>
      </w:pPr>
      <w:r w:rsidRPr="006064AA">
        <w:rPr>
          <w:rFonts w:ascii="Times New Roman" w:hAnsi="Times New Roman" w:cs="Times New Roman"/>
          <w:color w:val="000000"/>
          <w:sz w:val="24"/>
          <w:szCs w:val="24"/>
        </w:rPr>
        <w:t xml:space="preserve">реконструкция, основно обновяване или основен ремонт, когато се обхващат над 25% от площта на външните ограждащи конструкции и елементи на сградата. </w:t>
      </w:r>
    </w:p>
    <w:p w14:paraId="721323C7"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Собствениците на сгради с РЗП над 250 m2 са длъжни да изпълнят мерките за достигане на минимално изискващия се клас на енергийно потребление, предписани от първото обследване, в тригодишен срок от датата на приемане на резултатите от обследването. </w:t>
      </w:r>
    </w:p>
    <w:p w14:paraId="63506B86"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Собствениците на сгради за обществено обслужване – държавни и общински администрации, са задължени да извършват управление на енергийна ефективност. Управлението се извършва чрез изпълнение на програми, дейности и мерки за повишаване на енергийна ефективност и ежегодно изготвяне на анализи на енергийното потребление. За управлението на енергийна ефективност, подобно на собствениците на предприятия, собствениците на сгради също изготвят и изпращат в АУЕР ежегодни отчети по образец. </w:t>
      </w:r>
    </w:p>
    <w:p w14:paraId="1F39D29E" w14:textId="77777777" w:rsidR="00121FD0" w:rsidRDefault="00121FD0" w:rsidP="00321A4C">
      <w:pPr>
        <w:autoSpaceDE w:val="0"/>
        <w:autoSpaceDN w:val="0"/>
        <w:adjustRightInd w:val="0"/>
        <w:spacing w:after="0" w:line="276" w:lineRule="auto"/>
        <w:ind w:firstLine="709"/>
        <w:jc w:val="both"/>
        <w:rPr>
          <w:rFonts w:ascii="Times New Roman" w:hAnsi="Times New Roman" w:cs="Times New Roman"/>
          <w:b/>
          <w:bCs/>
          <w:color w:val="000000"/>
          <w:sz w:val="24"/>
          <w:szCs w:val="24"/>
        </w:rPr>
      </w:pPr>
    </w:p>
    <w:p w14:paraId="0851B033" w14:textId="77777777" w:rsidR="00741F81" w:rsidRPr="00121FD0" w:rsidRDefault="00741F81" w:rsidP="004F15F5">
      <w:pPr>
        <w:pStyle w:val="ListParagraph"/>
        <w:numPr>
          <w:ilvl w:val="0"/>
          <w:numId w:val="51"/>
        </w:numPr>
        <w:autoSpaceDE w:val="0"/>
        <w:autoSpaceDN w:val="0"/>
        <w:adjustRightInd w:val="0"/>
        <w:spacing w:after="0" w:line="276" w:lineRule="auto"/>
        <w:jc w:val="both"/>
        <w:rPr>
          <w:rFonts w:ascii="Times New Roman" w:hAnsi="Times New Roman" w:cs="Times New Roman"/>
          <w:color w:val="000000"/>
          <w:sz w:val="24"/>
          <w:szCs w:val="24"/>
        </w:rPr>
      </w:pPr>
      <w:r w:rsidRPr="00121FD0">
        <w:rPr>
          <w:rFonts w:ascii="Times New Roman" w:hAnsi="Times New Roman" w:cs="Times New Roman"/>
          <w:b/>
          <w:bCs/>
          <w:color w:val="000000"/>
          <w:sz w:val="24"/>
          <w:szCs w:val="24"/>
        </w:rPr>
        <w:t xml:space="preserve">Отчитане и фактуриране </w:t>
      </w:r>
    </w:p>
    <w:p w14:paraId="40E13BDD" w14:textId="77777777" w:rsidR="00741F81" w:rsidRPr="00121FD0"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u w:val="single"/>
        </w:rPr>
      </w:pPr>
      <w:r w:rsidRPr="00121FD0">
        <w:rPr>
          <w:rFonts w:ascii="Times New Roman" w:hAnsi="Times New Roman" w:cs="Times New Roman"/>
          <w:b/>
          <w:bCs/>
          <w:color w:val="000000"/>
          <w:sz w:val="24"/>
          <w:szCs w:val="24"/>
          <w:u w:val="single"/>
        </w:rPr>
        <w:t xml:space="preserve">Отчитане на електрическа енергия </w:t>
      </w:r>
    </w:p>
    <w:p w14:paraId="1BC274FD"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Съгласно разпоредбите на ЗЕ електрическата енергия, доставена на крайни клиенти, се измерва със средства за търговско измерване – собственост на оператора на електропреносната мрежа или на оператора на съответната електроразпределителна мрежа, разположени до или на границата на имота на клиента. Потребителите на електрическа енергия не заплащат такса за средствата за търговско измерване. </w:t>
      </w:r>
    </w:p>
    <w:p w14:paraId="0E0ED060"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Структурата на пазара на електрическа енергия и условията за участие в пазара на електрическа енергия се определят с Правила за търговия с електрическа енергия, издадени от КЕВР. </w:t>
      </w:r>
    </w:p>
    <w:p w14:paraId="695CAAC5" w14:textId="77777777" w:rsidR="00741F81" w:rsidRPr="00121FD0"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u w:val="single"/>
          <w:lang w:val="en-US"/>
        </w:rPr>
      </w:pPr>
      <w:r w:rsidRPr="00121FD0">
        <w:rPr>
          <w:rFonts w:ascii="Times New Roman" w:hAnsi="Times New Roman" w:cs="Times New Roman"/>
          <w:b/>
          <w:bCs/>
          <w:color w:val="000000"/>
          <w:sz w:val="24"/>
          <w:szCs w:val="24"/>
          <w:u w:val="single"/>
        </w:rPr>
        <w:t>Отчитане на топлинна енергия</w:t>
      </w:r>
    </w:p>
    <w:p w14:paraId="231034BD"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Един от основните способи за отчитане на изразходваната топлинна енергия от домакинствата е системата “топлинно счетоводство”, въведена в България през 1999 г. в ЗЕ, като една от мерките за енергийна ефективност, залегнали в условията за присъединяване на Република България към ЕС. С помощта на уредите за дялово разпределение (разпределители, водомери, апартаментни топломери), общата енергия за отопление и подгряване на вода може да бъде разпределена между отделните имоти. Абонатните </w:t>
      </w:r>
      <w:r w:rsidRPr="00321A4C">
        <w:rPr>
          <w:rFonts w:ascii="Times New Roman" w:hAnsi="Times New Roman" w:cs="Times New Roman"/>
          <w:color w:val="000000"/>
          <w:sz w:val="24"/>
          <w:szCs w:val="24"/>
        </w:rPr>
        <w:lastRenderedPageBreak/>
        <w:t xml:space="preserve">станции у нас са оборудвани с топломери, които се отчитат в края на всеки месец. Отчетената топлинна енергия се разпределя между клиентите на база потреблението на всеки имот от предходния отоплителен сезон, като всеки месец топлофикационното дружество изпраща на потребителите фактури отразяващи тези данни. След отчитане на показанията на уредите в края на отоплителния сезон, топлинният счетоводител изготвя изравнителна сметка. Тя се изчислява на базата на реалното потребление за всеки отделен имот. </w:t>
      </w:r>
    </w:p>
    <w:p w14:paraId="3FC40316" w14:textId="77777777" w:rsidR="00741F81" w:rsidRPr="00121FD0"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u w:val="single"/>
        </w:rPr>
      </w:pPr>
      <w:r w:rsidRPr="00121FD0">
        <w:rPr>
          <w:rFonts w:ascii="Times New Roman" w:hAnsi="Times New Roman" w:cs="Times New Roman"/>
          <w:b/>
          <w:bCs/>
          <w:color w:val="000000"/>
          <w:sz w:val="24"/>
          <w:szCs w:val="24"/>
          <w:u w:val="single"/>
        </w:rPr>
        <w:t xml:space="preserve">Отчитане на енергия от природен газ </w:t>
      </w:r>
    </w:p>
    <w:p w14:paraId="5DB74752"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Отчитането на количествата природен газ, пренесен по газопреносната мрежа се извършва в газоизмервателните точки, собственост на преносното предприятие, разположени на газопреносната мрежа съобразена с нормативните изисквания за нейното проектиране, строителство и експлоатация. </w:t>
      </w:r>
    </w:p>
    <w:p w14:paraId="5B37F6F2"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Измерване на количествата природен газ, пренесен по газоразпределителната мрежа се извършва на газоизмервателния уред поставен преди потребителя, но собственост на газоразпределителното предприятие. Обслужването на средствата за търговско измерване на газопреносната и газоразпределителна мрежа е задължение на оператора на съответната мрежа в съответствие с нормативната уредба за търговски измервания: Закон за измерванията и Правила за търговия с природен газ. </w:t>
      </w:r>
    </w:p>
    <w:p w14:paraId="0D0979CF" w14:textId="77777777" w:rsidR="00741F81" w:rsidRPr="00121FD0"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u w:val="single"/>
        </w:rPr>
      </w:pPr>
      <w:r w:rsidRPr="00121FD0">
        <w:rPr>
          <w:rFonts w:ascii="Times New Roman" w:hAnsi="Times New Roman" w:cs="Times New Roman"/>
          <w:b/>
          <w:bCs/>
          <w:color w:val="000000"/>
          <w:sz w:val="24"/>
          <w:szCs w:val="24"/>
          <w:u w:val="single"/>
        </w:rPr>
        <w:t xml:space="preserve">Фактуриране </w:t>
      </w:r>
    </w:p>
    <w:p w14:paraId="3F92B026" w14:textId="77777777" w:rsidR="00BB087D"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Начините и условията за фактуриране на крайните потребители са регламентирани в ЗЕ. </w:t>
      </w:r>
    </w:p>
    <w:p w14:paraId="797C7340" w14:textId="77777777" w:rsidR="00BB087D" w:rsidRDefault="00BB087D"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365E4919"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b/>
          <w:bCs/>
          <w:color w:val="000000"/>
          <w:sz w:val="24"/>
          <w:szCs w:val="24"/>
        </w:rPr>
        <w:t xml:space="preserve">Повишаване на енергийната ефективност в сектор Транспорт </w:t>
      </w:r>
    </w:p>
    <w:p w14:paraId="5A271ED2"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Основните мерки, чрез които България се стреми да подобри енергийната ефективност в сектора, могат да бъдат обобщени, както следва: </w:t>
      </w:r>
    </w:p>
    <w:p w14:paraId="29D636DB"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i/>
          <w:iCs/>
          <w:color w:val="000000"/>
          <w:sz w:val="24"/>
          <w:szCs w:val="24"/>
        </w:rPr>
        <w:t xml:space="preserve">a) Увеличаване дела на обществения електрически транспорт </w:t>
      </w:r>
    </w:p>
    <w:p w14:paraId="1A033DDC"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Мярката включва: </w:t>
      </w:r>
    </w:p>
    <w:p w14:paraId="0968F3A5" w14:textId="77777777" w:rsidR="00741F81" w:rsidRPr="00121FD0" w:rsidRDefault="00741F81" w:rsidP="004F15F5">
      <w:pPr>
        <w:pStyle w:val="ListParagraph"/>
        <w:numPr>
          <w:ilvl w:val="0"/>
          <w:numId w:val="53"/>
        </w:numPr>
        <w:autoSpaceDE w:val="0"/>
        <w:autoSpaceDN w:val="0"/>
        <w:adjustRightInd w:val="0"/>
        <w:spacing w:after="0" w:line="276" w:lineRule="auto"/>
        <w:jc w:val="both"/>
        <w:rPr>
          <w:rFonts w:ascii="Times New Roman" w:hAnsi="Times New Roman" w:cs="Times New Roman"/>
          <w:color w:val="000000"/>
          <w:sz w:val="24"/>
          <w:szCs w:val="24"/>
        </w:rPr>
      </w:pPr>
      <w:r w:rsidRPr="00121FD0">
        <w:rPr>
          <w:rFonts w:ascii="Times New Roman" w:hAnsi="Times New Roman" w:cs="Times New Roman"/>
          <w:color w:val="000000"/>
          <w:sz w:val="24"/>
          <w:szCs w:val="24"/>
        </w:rPr>
        <w:t xml:space="preserve">Подобряване на железопътната инфраструктура; </w:t>
      </w:r>
    </w:p>
    <w:p w14:paraId="1A57C8CD" w14:textId="77777777" w:rsidR="00741F81" w:rsidRPr="00121FD0" w:rsidRDefault="00741F81" w:rsidP="004F15F5">
      <w:pPr>
        <w:pStyle w:val="ListParagraph"/>
        <w:numPr>
          <w:ilvl w:val="0"/>
          <w:numId w:val="53"/>
        </w:numPr>
        <w:autoSpaceDE w:val="0"/>
        <w:autoSpaceDN w:val="0"/>
        <w:adjustRightInd w:val="0"/>
        <w:spacing w:after="0" w:line="276" w:lineRule="auto"/>
        <w:jc w:val="both"/>
        <w:rPr>
          <w:rFonts w:ascii="Times New Roman" w:hAnsi="Times New Roman" w:cs="Times New Roman"/>
          <w:color w:val="000000"/>
          <w:sz w:val="24"/>
          <w:szCs w:val="24"/>
        </w:rPr>
      </w:pPr>
      <w:r w:rsidRPr="00121FD0">
        <w:rPr>
          <w:rFonts w:ascii="Times New Roman" w:hAnsi="Times New Roman" w:cs="Times New Roman"/>
          <w:color w:val="000000"/>
          <w:sz w:val="24"/>
          <w:szCs w:val="24"/>
        </w:rPr>
        <w:t xml:space="preserve">Подновяване на подвижния състав на електрическия железопътен транспорт. </w:t>
      </w:r>
    </w:p>
    <w:p w14:paraId="34BF1B5E"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i/>
          <w:iCs/>
          <w:color w:val="000000"/>
          <w:sz w:val="24"/>
          <w:szCs w:val="24"/>
        </w:rPr>
        <w:t xml:space="preserve">b) Обучение на водачите за икономично шофиране </w:t>
      </w:r>
    </w:p>
    <w:p w14:paraId="2289B626"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lang w:val="en-US"/>
        </w:rPr>
      </w:pPr>
      <w:r w:rsidRPr="00321A4C">
        <w:rPr>
          <w:rFonts w:ascii="Times New Roman" w:hAnsi="Times New Roman" w:cs="Times New Roman"/>
          <w:color w:val="000000"/>
          <w:sz w:val="24"/>
          <w:szCs w:val="24"/>
        </w:rPr>
        <w:t>Министерството на транспорта и съобщенията ще насърчава и улеснява специалните обучения на шофьорите за подобряване на икономичното шофиране. Такива курсове ще включват модул за управление на превозни средства, който, въз основа на изискванията за безопасност, включва теми за повишаване на способността за оптимизиране на разхода на гориво чрез по-добро използване на дизайна на превозното средство и ефективно управление на превозното средство.</w:t>
      </w:r>
    </w:p>
    <w:p w14:paraId="181D90D8"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i/>
          <w:iCs/>
          <w:color w:val="000000"/>
          <w:sz w:val="24"/>
          <w:szCs w:val="24"/>
        </w:rPr>
        <w:t xml:space="preserve">c) Увеличаване на дела на електрическите и хибридните превозни средства и разгръщане на инфраструктурата за зареждане на електрически и хибридни автомобили в градските райони </w:t>
      </w:r>
    </w:p>
    <w:p w14:paraId="414A7B6C"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lastRenderedPageBreak/>
        <w:t xml:space="preserve">Секторът на зарядната инфраструктура в България се развива с бързи темпове и общият брой инсталирани зарядни точки на територията на страната премина границата от 1 000 в началото на 2023 г. Към началото на м. декември 2023 г. зарядните станции са 1 586 бр., разположени на 1 126 локации. </w:t>
      </w:r>
    </w:p>
    <w:p w14:paraId="616DA69D"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В България са в експлоатация 15 мрежи със зарядни станции на различни оператори: Fines Charging, ElD</w:t>
      </w:r>
      <w:r w:rsidR="00F01768">
        <w:rPr>
          <w:rFonts w:ascii="Times New Roman" w:hAnsi="Times New Roman" w:cs="Times New Roman"/>
          <w:color w:val="000000"/>
          <w:sz w:val="24"/>
          <w:szCs w:val="24"/>
        </w:rPr>
        <w:t>rive, eCars/VsichkoTok</w:t>
      </w:r>
      <w:r w:rsidRPr="00321A4C">
        <w:rPr>
          <w:rFonts w:ascii="Times New Roman" w:hAnsi="Times New Roman" w:cs="Times New Roman"/>
          <w:color w:val="000000"/>
          <w:sz w:val="24"/>
          <w:szCs w:val="24"/>
        </w:rPr>
        <w:t xml:space="preserve">, AutoBOX/VoltSpot, KIA Hypercharge/ELBUL, EVPoint, Pro Credit Bank, Kaufland, Varna Charging, Gigacharger, Travel By Electric, Wink Charging, GPStation, Bullcharge, EVN. </w:t>
      </w:r>
    </w:p>
    <w:p w14:paraId="469DC0B5" w14:textId="77777777" w:rsidR="00741F81" w:rsidRPr="00321A4C" w:rsidRDefault="00741F81" w:rsidP="00321A4C">
      <w:pPr>
        <w:autoSpaceDE w:val="0"/>
        <w:autoSpaceDN w:val="0"/>
        <w:adjustRightInd w:val="0"/>
        <w:spacing w:after="0" w:line="276" w:lineRule="auto"/>
        <w:ind w:firstLine="709"/>
        <w:jc w:val="both"/>
        <w:rPr>
          <w:rFonts w:ascii="Times New Roman" w:eastAsia="Yu Gothic UI" w:hAnsi="Times New Roman" w:cs="Times New Roman"/>
          <w:color w:val="000000"/>
          <w:sz w:val="24"/>
          <w:szCs w:val="24"/>
        </w:rPr>
      </w:pPr>
      <w:r w:rsidRPr="00321A4C">
        <w:rPr>
          <w:rFonts w:ascii="Times New Roman" w:eastAsia="Yu Gothic UI" w:hAnsi="Times New Roman" w:cs="Times New Roman"/>
          <w:color w:val="000000"/>
          <w:sz w:val="24"/>
          <w:szCs w:val="24"/>
        </w:rPr>
        <w:t xml:space="preserve">От 2017 г. се предлага услуга за споделяне на изцяло електрически автомобили SPARK в гр.София, а от 2021 г. и в гр. Пловдив. </w:t>
      </w:r>
    </w:p>
    <w:p w14:paraId="2CF6BA45" w14:textId="77777777" w:rsidR="00741F81" w:rsidRPr="00321A4C" w:rsidRDefault="00741F81" w:rsidP="00321A4C">
      <w:pPr>
        <w:autoSpaceDE w:val="0"/>
        <w:autoSpaceDN w:val="0"/>
        <w:adjustRightInd w:val="0"/>
        <w:spacing w:after="0" w:line="276" w:lineRule="auto"/>
        <w:ind w:firstLine="709"/>
        <w:jc w:val="both"/>
        <w:rPr>
          <w:rFonts w:ascii="Times New Roman" w:eastAsia="Yu Gothic UI" w:hAnsi="Times New Roman" w:cs="Times New Roman"/>
          <w:color w:val="000000"/>
          <w:sz w:val="24"/>
          <w:szCs w:val="24"/>
        </w:rPr>
      </w:pPr>
      <w:r w:rsidRPr="00321A4C">
        <w:rPr>
          <w:rFonts w:ascii="Times New Roman" w:eastAsia="Yu Gothic UI" w:hAnsi="Times New Roman" w:cs="Times New Roman"/>
          <w:color w:val="000000"/>
          <w:sz w:val="24"/>
          <w:szCs w:val="24"/>
        </w:rPr>
        <w:t xml:space="preserve">Развитие в България получават и предоставяните услуги за споделяне на велосипеди и електрически скутери, които дават решение на редица проблеми на големите урбанизирани територии. </w:t>
      </w:r>
    </w:p>
    <w:p w14:paraId="1054ACBB" w14:textId="77777777" w:rsidR="00741F81" w:rsidRPr="00321A4C" w:rsidRDefault="00741F81" w:rsidP="00321A4C">
      <w:pPr>
        <w:autoSpaceDE w:val="0"/>
        <w:autoSpaceDN w:val="0"/>
        <w:adjustRightInd w:val="0"/>
        <w:spacing w:after="0" w:line="276" w:lineRule="auto"/>
        <w:ind w:firstLine="709"/>
        <w:jc w:val="both"/>
        <w:rPr>
          <w:rFonts w:ascii="Times New Roman" w:eastAsia="Yu Gothic UI" w:hAnsi="Times New Roman" w:cs="Times New Roman"/>
          <w:color w:val="000000"/>
          <w:sz w:val="24"/>
          <w:szCs w:val="24"/>
        </w:rPr>
      </w:pPr>
      <w:r w:rsidRPr="00321A4C">
        <w:rPr>
          <w:rFonts w:ascii="Times New Roman" w:eastAsia="Yu Gothic UI" w:hAnsi="Times New Roman" w:cs="Times New Roman"/>
          <w:color w:val="000000"/>
          <w:sz w:val="24"/>
          <w:szCs w:val="24"/>
        </w:rPr>
        <w:t xml:space="preserve">От 2016 г. е стартирана пилотна схема за насърчаване на закупуването на електрически и хибридни превозни средства в държавната администрация на Националния доверителен екофонд чрез предоставяне на субсидия. </w:t>
      </w:r>
    </w:p>
    <w:p w14:paraId="1B73363C"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lang w:val="en-US"/>
        </w:rPr>
      </w:pPr>
      <w:r w:rsidRPr="00321A4C">
        <w:rPr>
          <w:rFonts w:ascii="Times New Roman" w:eastAsia="Yu Gothic UI" w:hAnsi="Times New Roman" w:cs="Times New Roman"/>
          <w:color w:val="000000"/>
          <w:sz w:val="24"/>
          <w:szCs w:val="24"/>
        </w:rPr>
        <w:t>За периода 2016 -</w:t>
      </w:r>
      <w:r w:rsidR="00BB087D">
        <w:rPr>
          <w:rFonts w:ascii="Times New Roman" w:eastAsia="Yu Gothic UI" w:hAnsi="Times New Roman" w:cs="Times New Roman"/>
          <w:color w:val="000000"/>
          <w:sz w:val="24"/>
          <w:szCs w:val="24"/>
        </w:rPr>
        <w:t xml:space="preserve"> </w:t>
      </w:r>
      <w:r w:rsidRPr="00321A4C">
        <w:rPr>
          <w:rFonts w:ascii="Times New Roman" w:eastAsia="Yu Gothic UI" w:hAnsi="Times New Roman" w:cs="Times New Roman"/>
          <w:color w:val="000000"/>
          <w:sz w:val="24"/>
          <w:szCs w:val="24"/>
        </w:rPr>
        <w:t>2022 г. е изплатена субсидия в размер на 1 391 146 лв.</w:t>
      </w:r>
      <w:r w:rsidR="00564CF7">
        <w:rPr>
          <w:rFonts w:ascii="Times New Roman" w:eastAsia="Yu Gothic UI" w:hAnsi="Times New Roman" w:cs="Times New Roman"/>
          <w:color w:val="000000"/>
          <w:sz w:val="24"/>
          <w:szCs w:val="24"/>
        </w:rPr>
        <w:t xml:space="preserve"> </w:t>
      </w:r>
      <w:r w:rsidRPr="00321A4C">
        <w:rPr>
          <w:rFonts w:ascii="Times New Roman" w:eastAsia="Yu Gothic UI" w:hAnsi="Times New Roman" w:cs="Times New Roman"/>
          <w:color w:val="000000"/>
          <w:sz w:val="24"/>
          <w:szCs w:val="24"/>
        </w:rPr>
        <w:t>за доставката на общо 72 броя електрически и плъг-ин хибридни превозни средства.</w:t>
      </w:r>
    </w:p>
    <w:p w14:paraId="2DF46D65"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Националната рамка за политика за развитието на пазара на алтернативни горива в транспортния сектор и за разгръщането на съответната инфраструктура са предвидени редица потенциални мерки за насърчаване навлизането на електрически превозни средства: </w:t>
      </w:r>
    </w:p>
    <w:p w14:paraId="15158E1E" w14:textId="77777777" w:rsidR="00741F81" w:rsidRPr="000D0628" w:rsidRDefault="00741F81" w:rsidP="004F15F5">
      <w:pPr>
        <w:pStyle w:val="ListParagraph"/>
        <w:numPr>
          <w:ilvl w:val="0"/>
          <w:numId w:val="54"/>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Определяне на стандарти за консумация на енергия в движение (приложими не само за първоначална регистрация, но и за последваща продажба/ регистрация на превозни средства); </w:t>
      </w:r>
    </w:p>
    <w:p w14:paraId="76F9C0E1" w14:textId="77777777" w:rsidR="00741F81" w:rsidRPr="000D0628" w:rsidRDefault="00741F81" w:rsidP="004F15F5">
      <w:pPr>
        <w:pStyle w:val="ListParagraph"/>
        <w:numPr>
          <w:ilvl w:val="0"/>
          <w:numId w:val="54"/>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Определяне на нормите за емисии на пътни превозни средства (приложими не само за първоначална регистрация, но и за последваща продажба/ регистрация на превозни средства); </w:t>
      </w:r>
    </w:p>
    <w:p w14:paraId="6669697A" w14:textId="77777777" w:rsidR="00741F81" w:rsidRPr="000D0628" w:rsidRDefault="00741F81" w:rsidP="004F15F5">
      <w:pPr>
        <w:pStyle w:val="ListParagraph"/>
        <w:numPr>
          <w:ilvl w:val="0"/>
          <w:numId w:val="54"/>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Въвеждане на зони за достъп (особено в централните градски райони) само с енергийно ефективни и превозни средства с ниски емисии; </w:t>
      </w:r>
    </w:p>
    <w:p w14:paraId="75006354" w14:textId="77777777" w:rsidR="00741F81" w:rsidRPr="000D0628" w:rsidRDefault="00741F81" w:rsidP="004F15F5">
      <w:pPr>
        <w:pStyle w:val="ListParagraph"/>
        <w:numPr>
          <w:ilvl w:val="0"/>
          <w:numId w:val="54"/>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Прилагане на прогресивно данъчно облагане, насърчаващо използването на енергийно ефективни и превозни средства с ниски емисии; </w:t>
      </w:r>
    </w:p>
    <w:p w14:paraId="2AEF90F1" w14:textId="77777777" w:rsidR="00741F81" w:rsidRPr="000D0628" w:rsidRDefault="00741F81" w:rsidP="004F15F5">
      <w:pPr>
        <w:pStyle w:val="ListParagraph"/>
        <w:numPr>
          <w:ilvl w:val="0"/>
          <w:numId w:val="54"/>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Предоставяне на директни субсидии за закупуване на нови превозни средства с нулеви емисии (валидно за ограничен брой/време, до достигане на минимален брой на такива превозните средства); </w:t>
      </w:r>
    </w:p>
    <w:p w14:paraId="4398381B" w14:textId="77777777" w:rsidR="00741F81" w:rsidRPr="000D0628" w:rsidRDefault="00741F81" w:rsidP="004F15F5">
      <w:pPr>
        <w:pStyle w:val="ListParagraph"/>
        <w:numPr>
          <w:ilvl w:val="0"/>
          <w:numId w:val="54"/>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Предоставяне на данъчни кредити за закупуване и използване на превозни средства с нулеви емисии (валидно за ограничен брой/време, до достигане на минимален брой на такива превозните средства); </w:t>
      </w:r>
    </w:p>
    <w:p w14:paraId="41AD3362" w14:textId="77777777" w:rsidR="00741F81" w:rsidRPr="000D0628" w:rsidRDefault="00741F81" w:rsidP="004F15F5">
      <w:pPr>
        <w:pStyle w:val="ListParagraph"/>
        <w:numPr>
          <w:ilvl w:val="0"/>
          <w:numId w:val="54"/>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lastRenderedPageBreak/>
        <w:t xml:space="preserve">Осигуряване на достъп до автобусни ленти за превозни средства с нулеви емисии (валидно за ограничен брой/време, докато се достигне минимален брой на такива превозни средства); </w:t>
      </w:r>
    </w:p>
    <w:p w14:paraId="2C990CB2" w14:textId="77777777" w:rsidR="00741F81" w:rsidRPr="000D0628" w:rsidRDefault="00741F81" w:rsidP="004F15F5">
      <w:pPr>
        <w:pStyle w:val="ListParagraph"/>
        <w:numPr>
          <w:ilvl w:val="0"/>
          <w:numId w:val="54"/>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Използване на електрически превозни средства за нуждите на публичната администрация и местните власти; </w:t>
      </w:r>
    </w:p>
    <w:p w14:paraId="0688D731" w14:textId="77777777" w:rsidR="00741F81" w:rsidRPr="000D0628" w:rsidRDefault="00741F81" w:rsidP="004F15F5">
      <w:pPr>
        <w:pStyle w:val="ListParagraph"/>
        <w:numPr>
          <w:ilvl w:val="0"/>
          <w:numId w:val="54"/>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Насърчаване на влизането на превозни средства с нулеви емисии за съвместно използване; </w:t>
      </w:r>
    </w:p>
    <w:p w14:paraId="4AB43410" w14:textId="77777777" w:rsidR="00741F81" w:rsidRPr="000D0628" w:rsidRDefault="00741F81" w:rsidP="004F15F5">
      <w:pPr>
        <w:pStyle w:val="ListParagraph"/>
        <w:numPr>
          <w:ilvl w:val="0"/>
          <w:numId w:val="54"/>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Стимулиране на преход на таксиметровите компании и обществените превозвачи към използването на превозни средства с нулеви емисии. </w:t>
      </w:r>
    </w:p>
    <w:p w14:paraId="7E3E2BAA"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321E2181"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i/>
          <w:iCs/>
          <w:color w:val="000000"/>
          <w:sz w:val="24"/>
          <w:szCs w:val="24"/>
        </w:rPr>
        <w:t xml:space="preserve">Увеличаване на дела на превозните средства с водородни горивни клетки и разгръщане на водородна зарядна инфраструктура </w:t>
      </w:r>
    </w:p>
    <w:p w14:paraId="48F8185F"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Наличието на зарядна инфраструктура, се явява критична необходимост за начало на водородния транспорт в България. Икономически най-обосновано е паралелно изграждане на екосистемата от зарядни станции и ситмули за закупуването на водородни превозни средства. </w:t>
      </w:r>
    </w:p>
    <w:p w14:paraId="70CBCB6D"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Очертават се два подхода за въвеждане на водородна електромобилност в България: чрез директно закупуване на водородни транспортни средства и инфраструктура за зареждане и чрез ретро-фитинг (конверсия). </w:t>
      </w:r>
    </w:p>
    <w:p w14:paraId="55480969"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момента в България няма централизирано производство на водород, нито инфраструктура на водородни зарядни станции, поради което прогнозното планиране на водородните зарядни станции както по местоположение, така и по тип и капацитет, ще търпи промени с цел повишаване на ефективността и намаляване на себестойността. Предвижда се първите зарядни станции да произвеждат на място водород чрез електролиза с енергия от ВЕИ. </w:t>
      </w:r>
    </w:p>
    <w:p w14:paraId="479DE1E0"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Първият национален демонстрационен проект по водород, финансиран от МОН, е свързан с транспорта, за ретро-фитинг на тролейбус с удължител на пробега. </w:t>
      </w:r>
    </w:p>
    <w:p w14:paraId="0EEF3B53"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Предвижда се въвеждането на водородния електротранспорт да започне от градския автобусен транспорт, за който отговарят общините. Този подход е икономически по-целесъобразен поради възможността за по-мащабно стартиране с голям брой транспортни средства и зарядна инфраструктура с висок процент на регламентирана използваемост. За момента в България 4 общини проявяват интерес към въвеждане на водороден автобусен транспорт: София, Стара Загора, Бургас и Русе. </w:t>
      </w:r>
    </w:p>
    <w:p w14:paraId="0AC396AE"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Друга ниша за водороден транспорт, която силно ще се разраства, е международният превоз с товарни автомобили, където България има силни позиции. Това ще наложи осигуряване на съответната национална инфраструктура и построяване на зарядни станции по авотмагистралите. За България и по-специално за общините по река Дунав се очертава още една перспективна ниша за ретро-фитинг - водният транспорт. </w:t>
      </w:r>
    </w:p>
    <w:p w14:paraId="0C78352E" w14:textId="77777777" w:rsidR="000D0628" w:rsidRDefault="000D0628" w:rsidP="00321A4C">
      <w:pPr>
        <w:autoSpaceDE w:val="0"/>
        <w:autoSpaceDN w:val="0"/>
        <w:adjustRightInd w:val="0"/>
        <w:spacing w:after="0" w:line="276" w:lineRule="auto"/>
        <w:ind w:firstLine="709"/>
        <w:jc w:val="both"/>
        <w:rPr>
          <w:rFonts w:ascii="Times New Roman" w:hAnsi="Times New Roman" w:cs="Times New Roman"/>
          <w:b/>
          <w:bCs/>
          <w:color w:val="000000"/>
          <w:sz w:val="24"/>
          <w:szCs w:val="24"/>
        </w:rPr>
      </w:pPr>
    </w:p>
    <w:p w14:paraId="7A9CE060"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b/>
          <w:bCs/>
          <w:color w:val="000000"/>
          <w:sz w:val="24"/>
          <w:szCs w:val="24"/>
        </w:rPr>
        <w:lastRenderedPageBreak/>
        <w:t xml:space="preserve">Програми за информиране и обучение на потребителите </w:t>
      </w:r>
    </w:p>
    <w:p w14:paraId="6F58CBB1" w14:textId="77777777" w:rsidR="00741F81" w:rsidRPr="00321A4C" w:rsidRDefault="00741F81" w:rsidP="000D0628">
      <w:pPr>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Мярката цели да се осигури повишаването на информираността на потребителите относно използваната от тях електрическа и топлинна енергия и енергия от природен газ, както и по отношение на ползите от прилагането на мерки за енергийна ефективност. Търговците с енергия публикуват на страниците си информация относно начините за пестене на енергия и поддържат онлайн архив с електронни фактури. Към дружествата има консултанти по енергийна ефективност, които подпомагат клиентите</w:t>
      </w:r>
      <w:r w:rsidR="000D0628">
        <w:rPr>
          <w:rFonts w:ascii="Times New Roman" w:hAnsi="Times New Roman" w:cs="Times New Roman"/>
          <w:color w:val="000000"/>
          <w:sz w:val="24"/>
          <w:szCs w:val="24"/>
        </w:rPr>
        <w:t xml:space="preserve"> </w:t>
      </w:r>
      <w:r w:rsidRPr="00321A4C">
        <w:rPr>
          <w:rFonts w:ascii="Times New Roman" w:hAnsi="Times New Roman" w:cs="Times New Roman"/>
          <w:color w:val="000000"/>
          <w:sz w:val="24"/>
          <w:szCs w:val="24"/>
        </w:rPr>
        <w:t xml:space="preserve">да намалят потреблението си на енергия, без осъществяването на скъпи инвестиции и сложни ремонти. </w:t>
      </w:r>
    </w:p>
    <w:p w14:paraId="3C8B3937"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Освен, че мярката се прилага от търговците с енергия в страната като част от техните информационни кампании и инициативи, изпълнението й допълнително се подпомага от областните и общинските администрации в страната. Различни инициативи за повишаване на информираността на потребителите са включени в програмите за повишаване на енергийна ефективност на регионалните и местните власти, изготвяни в изпълнение на задълженията им по чл. 12 от ЗЕЕ. Инициативите включват създаването на потребителски съвети, организиране на ден на потребителя, както и множество кампании в областните и общинските центрове, където клиентите могат да се запознаят с начините за спестяване на енергия. </w:t>
      </w:r>
    </w:p>
    <w:p w14:paraId="441ECCD2"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Информационните кампании, както и прилагането на различни поведенчески мерки, са включени като допустими мерки в Наредба № Е-РД-04-3 от 4 май 2016 г. за допустимите мерки за осъществяване на енергийни спестявания в крайното потребление, начините на доказване на постигнатите енергийни спестявания, изискванията към методиките за тяхното оценяване и начините за потвърждаването им. </w:t>
      </w:r>
    </w:p>
    <w:p w14:paraId="6CA465F5"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За подпомагане на изпълнението на мярката се разработват специализирани методики за оценка на енергийните спестявания след прилагането на различни поведенчески мерки по реда на Наредба № Е-РД-04-3 от 4 май 2016 г. Методиките се изготвят по образец, утвърден в Наредбата и преминават през обсъждане от специално сформирани от АУЕР експертни групи, отново по реда на същата Наредба. </w:t>
      </w:r>
    </w:p>
    <w:p w14:paraId="79E867C1" w14:textId="77777777" w:rsidR="000D0628" w:rsidRDefault="000D0628" w:rsidP="00321A4C">
      <w:pPr>
        <w:autoSpaceDE w:val="0"/>
        <w:autoSpaceDN w:val="0"/>
        <w:adjustRightInd w:val="0"/>
        <w:spacing w:after="0" w:line="276" w:lineRule="auto"/>
        <w:ind w:firstLine="709"/>
        <w:jc w:val="both"/>
        <w:rPr>
          <w:rFonts w:ascii="Times New Roman" w:hAnsi="Times New Roman" w:cs="Times New Roman"/>
          <w:b/>
          <w:bCs/>
          <w:color w:val="000000"/>
          <w:sz w:val="24"/>
          <w:szCs w:val="24"/>
        </w:rPr>
      </w:pPr>
    </w:p>
    <w:p w14:paraId="63E14BC6"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b/>
          <w:bCs/>
          <w:color w:val="000000"/>
          <w:sz w:val="24"/>
          <w:szCs w:val="24"/>
        </w:rPr>
        <w:t xml:space="preserve">Осигуряване на схеми за квалификация, акредитиране и сертифициране </w:t>
      </w:r>
    </w:p>
    <w:p w14:paraId="5524E416"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Условията и редът за придобиване и признаване на квалификация за извършване на обследване за енергийна ефективност на сгради и промишлени системи, и сертифициране на сгради са уредени в ЗЕЕ. Дейностите по обследване за енергийна ефективност, сертифициране на сгради, изготвяне на оценка за съответствие на инвестиционните проекти и изготвяне на оценки за енергийни спестявания се извършват от лица, вписани в публични регистри, поддържани от АУЕР. В ЗЕЕ са предвидени изискванията, на които следва да отговарят въпросните лица, като тези изисквания се детайлизират на подзаконово ниво в НАРЕДБА № Е-РД-04-1 от 3.01.2018 г. за обстоятелствата, подлежащи на вписване в регистрите по Закона за енергийната ефективност, вписването и получаването на информация от тези регистри, условията и реда за придобиване на квалификация от консултантите по енергийна ефективност. </w:t>
      </w:r>
    </w:p>
    <w:p w14:paraId="034F152F" w14:textId="77777777" w:rsidR="00741F81" w:rsidRPr="000D0628" w:rsidRDefault="00741F81" w:rsidP="00321A4C">
      <w:pPr>
        <w:spacing w:after="0" w:line="276" w:lineRule="auto"/>
        <w:ind w:firstLine="709"/>
        <w:jc w:val="both"/>
        <w:rPr>
          <w:rFonts w:ascii="Times New Roman" w:hAnsi="Times New Roman" w:cs="Times New Roman"/>
          <w:sz w:val="24"/>
          <w:szCs w:val="24"/>
          <w:lang w:val="en-US"/>
        </w:rPr>
      </w:pPr>
      <w:r w:rsidRPr="00321A4C">
        <w:rPr>
          <w:rFonts w:ascii="Times New Roman" w:hAnsi="Times New Roman" w:cs="Times New Roman"/>
          <w:color w:val="000000"/>
          <w:sz w:val="24"/>
          <w:szCs w:val="24"/>
        </w:rPr>
        <w:lastRenderedPageBreak/>
        <w:t>Вписаните в публичния регистър на АУЕР лица притежават удостоверение за успешно положен изпит за повишаване на квалификацията за извършване на дейностите по обследване и сертифициране на сгради и обследване за енергийна ефективност на промишлени системи</w:t>
      </w:r>
      <w:r w:rsidR="000D0628">
        <w:rPr>
          <w:rFonts w:ascii="Times New Roman" w:hAnsi="Times New Roman" w:cs="Times New Roman"/>
          <w:color w:val="000000"/>
          <w:sz w:val="24"/>
          <w:szCs w:val="24"/>
        </w:rPr>
        <w:t>.</w:t>
      </w:r>
    </w:p>
    <w:p w14:paraId="0BEC62DA" w14:textId="77777777" w:rsidR="00741F81" w:rsidRPr="000D0628"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u w:val="single"/>
        </w:rPr>
      </w:pPr>
      <w:r w:rsidRPr="000D0628">
        <w:rPr>
          <w:rFonts w:ascii="Times New Roman" w:hAnsi="Times New Roman" w:cs="Times New Roman"/>
          <w:b/>
          <w:bCs/>
          <w:color w:val="000000"/>
          <w:sz w:val="24"/>
          <w:szCs w:val="24"/>
          <w:u w:val="single"/>
        </w:rPr>
        <w:t xml:space="preserve">• Задължително поетапно изваждане от употреба на отоплителните уреди на твърдо гориво, които не отговарят на изискванията на Регламентите за екодизайн (ЕС) 2015/1185 и (ЕС) 2015/1189 и замяната им с други средства за отопление; </w:t>
      </w:r>
    </w:p>
    <w:p w14:paraId="0698F036" w14:textId="77777777" w:rsidR="00741F81"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Национална програма за подобряване качеството на атмосферния въздух 2018-2020 г. е включена мярка в областта на битовото отопление - задължително поетапно извеждане от употреба в периода 2020-2024 г. на печки и котли на твърдо гориво, които не отговарят на изискванията на Регламентите за екодизайн и въвеждането на алтернативни мерки за отопление да допринесат до очакваното намаление на емисиите на ФПЧ10 от сектора на битовото отопление. Крайната цел на мярката е поетапното изваждане от употреба на неефективните уреди на твърдо гориво. </w:t>
      </w:r>
    </w:p>
    <w:p w14:paraId="3443F5C4" w14:textId="77777777" w:rsidR="000D0628" w:rsidRPr="00321A4C" w:rsidRDefault="000D0628"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2E382697" w14:textId="77777777" w:rsidR="00741F81" w:rsidRPr="000D0628"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0D0628">
        <w:rPr>
          <w:rFonts w:ascii="Times New Roman" w:hAnsi="Times New Roman" w:cs="Times New Roman"/>
          <w:i/>
          <w:iCs/>
          <w:sz w:val="24"/>
          <w:szCs w:val="24"/>
        </w:rPr>
        <w:t xml:space="preserve">v. Когато е приложимо, описание на политиките и мерките за насърчаване на ролята на местните енергийни общности във връзка с приноса им в изпълнението на политиките и мерките, посочени в подточки i), ii), iii) и iv) </w:t>
      </w:r>
    </w:p>
    <w:p w14:paraId="3B2D3F41" w14:textId="77777777" w:rsidR="00741F81" w:rsidRPr="001348B5" w:rsidRDefault="00741F81" w:rsidP="00321A4C">
      <w:pPr>
        <w:autoSpaceDE w:val="0"/>
        <w:autoSpaceDN w:val="0"/>
        <w:adjustRightInd w:val="0"/>
        <w:spacing w:after="0" w:line="276" w:lineRule="auto"/>
        <w:ind w:firstLine="709"/>
        <w:jc w:val="both"/>
        <w:rPr>
          <w:rFonts w:ascii="Times New Roman" w:hAnsi="Times New Roman" w:cs="Times New Roman"/>
          <w:b/>
          <w:sz w:val="24"/>
          <w:szCs w:val="24"/>
        </w:rPr>
      </w:pPr>
      <w:r w:rsidRPr="001348B5">
        <w:rPr>
          <w:rFonts w:ascii="Times New Roman" w:hAnsi="Times New Roman" w:cs="Times New Roman"/>
          <w:b/>
          <w:i/>
          <w:iCs/>
          <w:sz w:val="24"/>
          <w:szCs w:val="24"/>
        </w:rPr>
        <w:t xml:space="preserve">Не е приложимо към настоящия момент </w:t>
      </w:r>
    </w:p>
    <w:p w14:paraId="51E076A1" w14:textId="77777777" w:rsidR="000D0628" w:rsidRDefault="000D0628" w:rsidP="00321A4C">
      <w:pPr>
        <w:autoSpaceDE w:val="0"/>
        <w:autoSpaceDN w:val="0"/>
        <w:adjustRightInd w:val="0"/>
        <w:spacing w:after="0" w:line="276" w:lineRule="auto"/>
        <w:ind w:firstLine="709"/>
        <w:jc w:val="both"/>
        <w:rPr>
          <w:rFonts w:ascii="Times New Roman" w:hAnsi="Times New Roman" w:cs="Times New Roman"/>
          <w:i/>
          <w:iCs/>
          <w:sz w:val="24"/>
          <w:szCs w:val="24"/>
        </w:rPr>
      </w:pPr>
    </w:p>
    <w:p w14:paraId="2B33EC69" w14:textId="77777777" w:rsidR="00741F81" w:rsidRPr="000D0628"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0D0628">
        <w:rPr>
          <w:rFonts w:ascii="Times New Roman" w:hAnsi="Times New Roman" w:cs="Times New Roman"/>
          <w:i/>
          <w:iCs/>
          <w:sz w:val="24"/>
          <w:szCs w:val="24"/>
        </w:rPr>
        <w:t xml:space="preserve">vi. Описание на мерките за разработване на мерки за използване на потенциала за подобряване на енергийна ефективност на газопреносната и електропреносната инфраструктура </w:t>
      </w:r>
    </w:p>
    <w:p w14:paraId="02013D88"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За ефективното използване на енергията при производството, преноса и разпределение в ЗЕ са регламентирани изисквания, които КЕВР отчита при определяне на цените на електрическа и топлинна енергия и природен газ. В изпълнение на правомощията си по този закон КЕВР: </w:t>
      </w:r>
    </w:p>
    <w:p w14:paraId="04A24587" w14:textId="77777777" w:rsidR="00741F81" w:rsidRPr="000D0628" w:rsidRDefault="00741F81" w:rsidP="004F15F5">
      <w:pPr>
        <w:pStyle w:val="ListParagraph"/>
        <w:numPr>
          <w:ilvl w:val="0"/>
          <w:numId w:val="55"/>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определя максимални размери на технологичните разходи при производството, преноса и разпределението на електрическа енергия, при производството и преноса на топлинна енергия и при преноса, разпределението и съхранението на природен газ, които могат да бъдат признати при определяне на цените, съгласно методика или указания, приети от комисията; </w:t>
      </w:r>
    </w:p>
    <w:p w14:paraId="60520B95" w14:textId="77777777" w:rsidR="00741F81" w:rsidRPr="000D0628" w:rsidRDefault="00741F81" w:rsidP="004F15F5">
      <w:pPr>
        <w:pStyle w:val="ListParagraph"/>
        <w:numPr>
          <w:ilvl w:val="0"/>
          <w:numId w:val="55"/>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изисква от операторите на електрическите и газовите мрежи да извършат оценка на потенциала за енергийна ефективност на съответните мрежи чрез намаляване на технологичните разходи, която включва анализ на преноса, разпределението, управлението на товарите, ефективното функциониране на мрежите и възможностите за присъединяване на инсталации за децентрализирано производство на енергия; </w:t>
      </w:r>
    </w:p>
    <w:p w14:paraId="46934529" w14:textId="77777777" w:rsidR="00741F81" w:rsidRPr="00321A4C" w:rsidRDefault="00741F81" w:rsidP="004F15F5">
      <w:pPr>
        <w:pStyle w:val="Default"/>
        <w:numPr>
          <w:ilvl w:val="0"/>
          <w:numId w:val="55"/>
        </w:numPr>
        <w:spacing w:line="276" w:lineRule="auto"/>
        <w:jc w:val="both"/>
      </w:pPr>
      <w:r w:rsidRPr="00321A4C">
        <w:lastRenderedPageBreak/>
        <w:t xml:space="preserve">въведено е задължение към операторите на мрежи при разработването на планове за развитие на мрежите да включват мерки и да планират съответните инвестиции за подобряване на енергийната ефективност в газовите и електроенергийните мрежи, както и график за тяхното изпълнение. </w:t>
      </w:r>
    </w:p>
    <w:p w14:paraId="1AD111FC"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правомощията на КЕВР е и извършването на оценка за икономическата целесъобразност от въвеждането на интелигентни системи за измерване, предложени от операторите на мрежите. В случай, че въвеждането е икономически обосновано, КЕВР изготвя графици за въвеждането им, като гарантира оперативната съвместимост на интелигентните системи за измерване при отчитане на подходящи стандарти, най-добри практики и значението им за развитието на вътрешния пазар на електрическа енергия и природен газ. </w:t>
      </w:r>
    </w:p>
    <w:p w14:paraId="61ABAD16"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допълнение, в ЗЕ е регламентирано, че при изпълнение на регулаторните си правомощия, в областта на енергийна ефективност, КЕВР се ръководи от следните общи принципи: </w:t>
      </w:r>
    </w:p>
    <w:p w14:paraId="121C1C35" w14:textId="77777777" w:rsidR="00741F81" w:rsidRPr="000D0628" w:rsidRDefault="00741F81" w:rsidP="004F15F5">
      <w:pPr>
        <w:pStyle w:val="ListParagraph"/>
        <w:numPr>
          <w:ilvl w:val="0"/>
          <w:numId w:val="55"/>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насърчаване повишаването на енергийна ефективност при производството, преноса, разпределението и крайното потребление на енергия и природен газ, както и; </w:t>
      </w:r>
    </w:p>
    <w:p w14:paraId="5B72D05B" w14:textId="77777777" w:rsidR="00741F81" w:rsidRPr="000D0628" w:rsidRDefault="00741F81" w:rsidP="004F15F5">
      <w:pPr>
        <w:pStyle w:val="ListParagraph"/>
        <w:numPr>
          <w:ilvl w:val="0"/>
          <w:numId w:val="55"/>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създаването на стимули на операторите на преносни и разпределителни мрежи за осигуряване на системни услуги на крайните клиенти, които дават възможност да се реализират мерки за подобряване на енергийна ефективност с въвеждане на интелигентни мрежи, като се вземат предвид разходите и ползите, свързани с всяка мярка, при гарантиране сигурността на системата. </w:t>
      </w:r>
    </w:p>
    <w:p w14:paraId="5EB00840"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22396D3F"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Във връзка с ценовото регулиране КЕВР има за цел цените за пренос и разпределение на електрическа енергия да не ограничават повишаването на енергийна ефективност при производството, преноса и разпределението на енергия и включването на оптимизацията на потреблението в балансирането на пазарите и предоставянето на допълнителни услуги, както и отразяване в мрежовите тарифи на намаляването на разходи в мрежите, постигнато от потребителите, оптимизирането на енергопотреблението, децентрализацията на производството, понижаване на разходите за доставка или за инвестиции в мрежите и от оптимизация на работата на мрежите. </w:t>
      </w:r>
    </w:p>
    <w:p w14:paraId="1020D63E"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По отношение оптимизирането на потреблението, КЕВР се ръководи от принципа цените за пренос и разпределение на електрическа енергия да позволяват повишаване участието на крайните клиенти в подобряване ефективността на електроенергийната система чрез оптимизиране на потреблението. Също така се стреми да насърчава операторите на преносни и разпределителни мрежи да предлагат системни услуги за оптимизация на потреблението на електрическа енергия, за управление на енергопотреблението и на децентрализирано производство в рамките на организирани </w:t>
      </w:r>
      <w:r w:rsidRPr="00321A4C">
        <w:rPr>
          <w:rFonts w:ascii="Times New Roman" w:hAnsi="Times New Roman" w:cs="Times New Roman"/>
          <w:color w:val="000000"/>
          <w:sz w:val="24"/>
          <w:szCs w:val="24"/>
        </w:rPr>
        <w:lastRenderedPageBreak/>
        <w:t xml:space="preserve">електроенергийни пазари и да подобряват ефективността при проектирането и функционирането на мрежите, и по-специално: </w:t>
      </w:r>
    </w:p>
    <w:p w14:paraId="56C7BF85" w14:textId="77777777" w:rsidR="00741F81" w:rsidRPr="00321A4C" w:rsidRDefault="00741F81" w:rsidP="004F15F5">
      <w:pPr>
        <w:pStyle w:val="Default"/>
        <w:numPr>
          <w:ilvl w:val="0"/>
          <w:numId w:val="55"/>
        </w:numPr>
        <w:spacing w:line="276" w:lineRule="auto"/>
        <w:jc w:val="both"/>
      </w:pPr>
      <w:r w:rsidRPr="00321A4C">
        <w:t xml:space="preserve">прехвърляне на натоварването от върхови часове към ненатоварени часове </w:t>
      </w:r>
      <w:r w:rsidR="000D0628">
        <w:rPr>
          <w:lang w:val="bg-BG"/>
        </w:rPr>
        <w:t xml:space="preserve"> </w:t>
      </w:r>
      <w:r w:rsidRPr="00321A4C">
        <w:t xml:space="preserve">от страна на крайните клиенти, като се взема предвид наличността на енергия от ВИ, от комбинирано производство на енергия и от децентрализирано производство; </w:t>
      </w:r>
    </w:p>
    <w:p w14:paraId="480B3798" w14:textId="77777777" w:rsidR="00741F81" w:rsidRPr="000D0628" w:rsidRDefault="00741F81" w:rsidP="004F15F5">
      <w:pPr>
        <w:pStyle w:val="ListParagraph"/>
        <w:numPr>
          <w:ilvl w:val="0"/>
          <w:numId w:val="55"/>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спестяване на енергия чрез оптимизация на потреблението от децентрализирани източници на производство посредством съчетаване на предоставяне на енергийноефективни услуги и участие на балансиращия пазар на електрическа енергия; </w:t>
      </w:r>
    </w:p>
    <w:p w14:paraId="716099BB" w14:textId="77777777" w:rsidR="00741F81" w:rsidRPr="000D0628" w:rsidRDefault="00741F81" w:rsidP="004F15F5">
      <w:pPr>
        <w:pStyle w:val="ListParagraph"/>
        <w:numPr>
          <w:ilvl w:val="0"/>
          <w:numId w:val="55"/>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намаляване на потреблението чрез мерки за енергийна ефективност, реализирани от доставчици на енергийноефективни услуги; </w:t>
      </w:r>
    </w:p>
    <w:p w14:paraId="21F6A122" w14:textId="77777777" w:rsidR="00741F81" w:rsidRPr="000D0628" w:rsidRDefault="00741F81" w:rsidP="004F15F5">
      <w:pPr>
        <w:pStyle w:val="ListParagraph"/>
        <w:numPr>
          <w:ilvl w:val="0"/>
          <w:numId w:val="55"/>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присъединяване и диспечерско управление на енергийни обекти за производство на електрическа енергия на средно и ниско напрежение; </w:t>
      </w:r>
    </w:p>
    <w:p w14:paraId="0D90551E" w14:textId="77777777" w:rsidR="00741F81" w:rsidRPr="000D0628" w:rsidRDefault="00741F81" w:rsidP="004F15F5">
      <w:pPr>
        <w:pStyle w:val="ListParagraph"/>
        <w:numPr>
          <w:ilvl w:val="0"/>
          <w:numId w:val="55"/>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присъединяване на енергийни обекти за производство на електрическа енергия, разположени по-близко до точките на потребление; </w:t>
      </w:r>
    </w:p>
    <w:p w14:paraId="751E297A" w14:textId="77777777" w:rsidR="00741F81" w:rsidRPr="000D0628" w:rsidRDefault="00741F81" w:rsidP="004F15F5">
      <w:pPr>
        <w:pStyle w:val="ListParagraph"/>
        <w:numPr>
          <w:ilvl w:val="0"/>
          <w:numId w:val="55"/>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предоставяне на достъп до мрежите на съоръжения за акумулиране на енергия. </w:t>
      </w:r>
    </w:p>
    <w:p w14:paraId="212A1566"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Друга цел е въвеждането на динамично ценообразуване за мерки за оптимизация на потреблението на електрическа енергия от страна на крайните клиенти чрез: </w:t>
      </w:r>
    </w:p>
    <w:p w14:paraId="6683A911" w14:textId="77777777" w:rsidR="00741F81" w:rsidRPr="000D0628" w:rsidRDefault="00741F81" w:rsidP="004F15F5">
      <w:pPr>
        <w:pStyle w:val="ListParagraph"/>
        <w:numPr>
          <w:ilvl w:val="0"/>
          <w:numId w:val="55"/>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цени, отчитащи периода на потребление; </w:t>
      </w:r>
    </w:p>
    <w:p w14:paraId="63F9E829" w14:textId="77777777" w:rsidR="00741F81" w:rsidRPr="000D0628" w:rsidRDefault="00741F81" w:rsidP="004F15F5">
      <w:pPr>
        <w:pStyle w:val="ListParagraph"/>
        <w:numPr>
          <w:ilvl w:val="0"/>
          <w:numId w:val="55"/>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цени за критичните периоди на върхово натоварване; </w:t>
      </w:r>
    </w:p>
    <w:p w14:paraId="054C57D2" w14:textId="77777777" w:rsidR="00741F81" w:rsidRPr="000D0628" w:rsidRDefault="00741F81" w:rsidP="004F15F5">
      <w:pPr>
        <w:pStyle w:val="ListParagraph"/>
        <w:numPr>
          <w:ilvl w:val="0"/>
          <w:numId w:val="55"/>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ценообразуване в реално време; </w:t>
      </w:r>
    </w:p>
    <w:p w14:paraId="5CD1CE7B" w14:textId="77777777" w:rsidR="00741F81" w:rsidRPr="000D0628" w:rsidRDefault="00741F81" w:rsidP="004F15F5">
      <w:pPr>
        <w:pStyle w:val="ListParagraph"/>
        <w:numPr>
          <w:ilvl w:val="0"/>
          <w:numId w:val="55"/>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отстъпки при намалено потребление през върхови периоди. </w:t>
      </w:r>
    </w:p>
    <w:p w14:paraId="77EB318D"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14D8EB81"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b/>
          <w:bCs/>
          <w:i/>
          <w:iCs/>
          <w:color w:val="000000"/>
          <w:sz w:val="24"/>
          <w:szCs w:val="24"/>
        </w:rPr>
        <w:t xml:space="preserve">Мерки при газоразпределителните дружества </w:t>
      </w:r>
    </w:p>
    <w:p w14:paraId="60CF8250"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Прилаганите мерки за енергийна ефективност от газоразпределителните дружества са следните: </w:t>
      </w:r>
    </w:p>
    <w:p w14:paraId="13C717B9"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1. Мерки, свързани с контрола и диагностиката на техническото състояние на мрежите: </w:t>
      </w:r>
    </w:p>
    <w:p w14:paraId="57E5D3D2" w14:textId="77777777" w:rsidR="00741F81" w:rsidRPr="000D0628" w:rsidRDefault="00741F81" w:rsidP="004F15F5">
      <w:pPr>
        <w:pStyle w:val="ListParagraph"/>
        <w:numPr>
          <w:ilvl w:val="0"/>
          <w:numId w:val="55"/>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Групиране на газопроводите по възраст от началото на въвеждане в експлоатация, като в по-старите участъци се въвежда по-кратък контролен период за обход и търсене на утечки на природен газ; </w:t>
      </w:r>
    </w:p>
    <w:p w14:paraId="26FC014C" w14:textId="77777777" w:rsidR="00741F81" w:rsidRPr="000D0628" w:rsidRDefault="00741F81" w:rsidP="004F15F5">
      <w:pPr>
        <w:pStyle w:val="ListParagraph"/>
        <w:numPr>
          <w:ilvl w:val="0"/>
          <w:numId w:val="55"/>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Групиране на газопроводите по честота на пробивите и утечките;, Извършване на анализ на баланса вход-изход от газоразпределителната мрежа; </w:t>
      </w:r>
    </w:p>
    <w:p w14:paraId="2CCA8A91"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2. Локализиране изтичането на природен газ. </w:t>
      </w:r>
    </w:p>
    <w:p w14:paraId="71329ADD"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3. Мерки, свързани с предотвратяване на щети, причинени от трети лица: анализ и предотвратяване на действия на трети лица, свързани с нарушаване целостта на мрежата, което води до изтичане на природен газ – ограничаване на достъпа и охраняване на обектите. </w:t>
      </w:r>
    </w:p>
    <w:p w14:paraId="3D6C0759"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lastRenderedPageBreak/>
        <w:t xml:space="preserve">4. Мерки по време на строителството и запълването на газоразпределителните мрежи – използване на сертифицирани материали и фирми изпълнители. </w:t>
      </w:r>
    </w:p>
    <w:p w14:paraId="7462ACEF"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5. Експлоатационни мерки: </w:t>
      </w:r>
    </w:p>
    <w:p w14:paraId="0891313B" w14:textId="77777777" w:rsidR="00741F81" w:rsidRPr="000D0628" w:rsidRDefault="00741F81" w:rsidP="004F15F5">
      <w:pPr>
        <w:pStyle w:val="ListParagraph"/>
        <w:numPr>
          <w:ilvl w:val="0"/>
          <w:numId w:val="55"/>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Управление на налягането; </w:t>
      </w:r>
    </w:p>
    <w:p w14:paraId="451A6732" w14:textId="77777777" w:rsidR="00741F81" w:rsidRPr="000D0628" w:rsidRDefault="00741F81" w:rsidP="004F15F5">
      <w:pPr>
        <w:pStyle w:val="ListParagraph"/>
        <w:numPr>
          <w:ilvl w:val="0"/>
          <w:numId w:val="55"/>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Одориране на природния газ; </w:t>
      </w:r>
    </w:p>
    <w:p w14:paraId="20F5BCF0" w14:textId="77777777" w:rsidR="00741F81" w:rsidRPr="000D0628" w:rsidRDefault="00741F81" w:rsidP="004F15F5">
      <w:pPr>
        <w:pStyle w:val="ListParagraph"/>
        <w:numPr>
          <w:ilvl w:val="0"/>
          <w:numId w:val="55"/>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Редовно обхождане на газоразпределителната мрежа; </w:t>
      </w:r>
    </w:p>
    <w:p w14:paraId="0E5DF984" w14:textId="77777777" w:rsidR="00741F81" w:rsidRPr="000D0628" w:rsidRDefault="00741F81" w:rsidP="004F15F5">
      <w:pPr>
        <w:pStyle w:val="ListParagraph"/>
        <w:numPr>
          <w:ilvl w:val="0"/>
          <w:numId w:val="55"/>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Изграждане на система за дистанционно наблюдение на стойностите на електрохимичните защити на металните газопроводи; </w:t>
      </w:r>
    </w:p>
    <w:p w14:paraId="4639E484" w14:textId="77777777" w:rsidR="00741F81" w:rsidRPr="000D0628" w:rsidRDefault="00741F81" w:rsidP="004F15F5">
      <w:pPr>
        <w:pStyle w:val="ListParagraph"/>
        <w:numPr>
          <w:ilvl w:val="0"/>
          <w:numId w:val="55"/>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Включване на нови абонати ще се осъществява, чрез врязване под налягане, с цел намаляване на технологични загуби; </w:t>
      </w:r>
    </w:p>
    <w:p w14:paraId="36007232" w14:textId="77777777" w:rsidR="00741F81" w:rsidRPr="000D0628" w:rsidRDefault="00741F81" w:rsidP="004F15F5">
      <w:pPr>
        <w:pStyle w:val="ListParagraph"/>
        <w:numPr>
          <w:ilvl w:val="0"/>
          <w:numId w:val="55"/>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Внедряване на интелигентни измервателни системи в газоразпределителните мрежи. </w:t>
      </w:r>
    </w:p>
    <w:p w14:paraId="4A29C4A0"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b/>
          <w:bCs/>
          <w:i/>
          <w:iCs/>
          <w:color w:val="000000"/>
          <w:sz w:val="24"/>
          <w:szCs w:val="24"/>
        </w:rPr>
        <w:t xml:space="preserve">Мерки при електроразпределителните дружества </w:t>
      </w:r>
    </w:p>
    <w:p w14:paraId="3F690D82"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По отношение на мерките за намаляване на технологичните разходи за пренос и разпределение на електрическата енергия през електроразпределителната мрежа, от операторите на мрежи се извършва следното: </w:t>
      </w:r>
    </w:p>
    <w:p w14:paraId="3C3816D5"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1. Намаляване на техническите загуби при преноса и разпределението на електрическа енергия, чрез: </w:t>
      </w:r>
    </w:p>
    <w:p w14:paraId="4ED0C4B7" w14:textId="77777777" w:rsidR="00741F81" w:rsidRPr="000D0628" w:rsidRDefault="00741F81" w:rsidP="004F15F5">
      <w:pPr>
        <w:pStyle w:val="ListParagraph"/>
        <w:numPr>
          <w:ilvl w:val="0"/>
          <w:numId w:val="55"/>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Увеличаване сечението на проводниците на ниво средно и ниско напрежение при кабелни и въздушни мрежи; </w:t>
      </w:r>
    </w:p>
    <w:p w14:paraId="3A178A6E" w14:textId="77777777" w:rsidR="00741F81" w:rsidRPr="000D0628" w:rsidRDefault="00741F81" w:rsidP="004F15F5">
      <w:pPr>
        <w:pStyle w:val="ListParagraph"/>
        <w:numPr>
          <w:ilvl w:val="0"/>
          <w:numId w:val="55"/>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Изграждане на нови трансформаторни постове, при което се намаляват дължините на изводите за мрежите ниско напрежение и/или се преразпределят електрическите товари; </w:t>
      </w:r>
    </w:p>
    <w:p w14:paraId="342671A8" w14:textId="77777777" w:rsidR="00741F81" w:rsidRPr="000D0628" w:rsidRDefault="00741F81" w:rsidP="004F15F5">
      <w:pPr>
        <w:pStyle w:val="ListParagraph"/>
        <w:numPr>
          <w:ilvl w:val="0"/>
          <w:numId w:val="55"/>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Подмяна на монтираните силови трансформатори, с нови, с по-ниски загуби на енергия на празен ход и на късо съединение; </w:t>
      </w:r>
    </w:p>
    <w:p w14:paraId="41E30FC0" w14:textId="77777777" w:rsidR="00741F81" w:rsidRPr="000D0628" w:rsidRDefault="00741F81" w:rsidP="004F15F5">
      <w:pPr>
        <w:pStyle w:val="ListParagraph"/>
        <w:numPr>
          <w:ilvl w:val="0"/>
          <w:numId w:val="55"/>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Термовизионно обследване на трансформатори, уредби средно напрежение и ниско напрежение за откриване на проблемни места, характеризиращи се с повишена температура. </w:t>
      </w:r>
    </w:p>
    <w:p w14:paraId="3EE00ACC"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2. Повишаване на надеждността при измерване на количествата електрическа енергия постъпили или напуснали електроразпределителната мрежа и ограничаване възможността за нерегламентираното й използване, чрез: </w:t>
      </w:r>
    </w:p>
    <w:p w14:paraId="340B09FA" w14:textId="77777777" w:rsidR="00741F81" w:rsidRPr="000D0628" w:rsidRDefault="00741F81" w:rsidP="004F15F5">
      <w:pPr>
        <w:pStyle w:val="ListParagraph"/>
        <w:numPr>
          <w:ilvl w:val="0"/>
          <w:numId w:val="55"/>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Подмяна на средства за търговско измерване; </w:t>
      </w:r>
    </w:p>
    <w:p w14:paraId="268A9BCE" w14:textId="77777777" w:rsidR="00741F81" w:rsidRPr="000D0628" w:rsidRDefault="00741F81" w:rsidP="004F15F5">
      <w:pPr>
        <w:pStyle w:val="ListParagraph"/>
        <w:numPr>
          <w:ilvl w:val="0"/>
          <w:numId w:val="55"/>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Обезопасяване и изнасяне на средствата за търговско измерване на границата на собственост; </w:t>
      </w:r>
    </w:p>
    <w:p w14:paraId="2E87FB77" w14:textId="77777777" w:rsidR="00741F81" w:rsidRPr="000D0628" w:rsidRDefault="00741F81" w:rsidP="004F15F5">
      <w:pPr>
        <w:pStyle w:val="ListParagraph"/>
        <w:numPr>
          <w:ilvl w:val="0"/>
          <w:numId w:val="55"/>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Изграждане на SMART GRID-мрежи. </w:t>
      </w:r>
    </w:p>
    <w:p w14:paraId="31C6BE9A"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308AE087"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b/>
          <w:bCs/>
          <w:i/>
          <w:iCs/>
          <w:color w:val="000000"/>
          <w:sz w:val="24"/>
          <w:szCs w:val="24"/>
        </w:rPr>
        <w:t>Мерки при топлофикационните дружества</w:t>
      </w:r>
    </w:p>
    <w:p w14:paraId="5AD478ED"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Потенциалът за енергийна ефективност на инфраструктурата на централизираното отопление и охлаждане се съдържа в рехабилитацията на топлопреносните мрежи и </w:t>
      </w:r>
      <w:r w:rsidRPr="00321A4C">
        <w:rPr>
          <w:rFonts w:ascii="Times New Roman" w:hAnsi="Times New Roman" w:cs="Times New Roman"/>
          <w:color w:val="000000"/>
          <w:sz w:val="24"/>
          <w:szCs w:val="24"/>
        </w:rPr>
        <w:lastRenderedPageBreak/>
        <w:t xml:space="preserve">подмяната на остарелите директни абонатни топлофикационни станции с модерни високоефективни автоматизирани индиректни станции, което ще намали загубите по преноса и разпределение на топлинна енергия и ще доведе до намаляване емисиите на ПГ. При най–добрите практики, свързани с използване за районните отоплителни инсталации на предварително изолирани тръби, се постига намаляване на топлинните загуби до 3%. Подобно ниво на загубите може да бъде постигнато за системи с висока плътност на мощността. В контекста на националните условия за Република България се приема, че средната плътност на мощността на районните отоплителни системи ще позволи намаляване на топлинните загуби до 10% при използване на най-добрата налична технология. </w:t>
      </w:r>
    </w:p>
    <w:p w14:paraId="24300CCB"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С цел да се намалят загубите до 10% (при текущи средни загуби 23.7%), топлофикационните мрежи трябва да бъдат модернизирани така, че годишните загуби да бъдат намалени от 2.77 ТJ/km до 1.17 TJ/km. Тъй като дължината на топлопреносната мрежа (1 898 км) е тясно свързана със стойността на загубите при пренос, може да се предположи, че изискването за намаляване на загубите на километър от мрежата до 1.17 TJ/km следва да се прилага към всички топлофикационни системи в страната. Потенциалът, в резултат от подобряване на енергийна ефективност на топлофикационните системи, се оценява на 1.6 TJ, представляващи 30.3% от топлината, която в момента се губи при транспортирането на топлоносителя. </w:t>
      </w:r>
    </w:p>
    <w:p w14:paraId="6267826A" w14:textId="77777777" w:rsidR="000D0628" w:rsidRPr="000D0628" w:rsidRDefault="000D0628" w:rsidP="00321A4C">
      <w:pPr>
        <w:autoSpaceDE w:val="0"/>
        <w:autoSpaceDN w:val="0"/>
        <w:adjustRightInd w:val="0"/>
        <w:spacing w:after="0" w:line="276" w:lineRule="auto"/>
        <w:ind w:firstLine="709"/>
        <w:jc w:val="both"/>
        <w:rPr>
          <w:rFonts w:ascii="Times New Roman" w:hAnsi="Times New Roman" w:cs="Times New Roman"/>
          <w:i/>
          <w:iCs/>
          <w:sz w:val="24"/>
          <w:szCs w:val="24"/>
        </w:rPr>
      </w:pPr>
    </w:p>
    <w:p w14:paraId="3802FEF7" w14:textId="77777777" w:rsidR="00741F81" w:rsidRPr="000D0628"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0D0628">
        <w:rPr>
          <w:rFonts w:ascii="Times New Roman" w:hAnsi="Times New Roman" w:cs="Times New Roman"/>
          <w:i/>
          <w:iCs/>
          <w:sz w:val="24"/>
          <w:szCs w:val="24"/>
        </w:rPr>
        <w:t xml:space="preserve">vii. Регионално сътрудничество в тази област, ако е приложимо </w:t>
      </w:r>
    </w:p>
    <w:p w14:paraId="65FC1721" w14:textId="77777777" w:rsidR="00741F81" w:rsidRPr="001348B5" w:rsidRDefault="00741F81" w:rsidP="00321A4C">
      <w:pPr>
        <w:autoSpaceDE w:val="0"/>
        <w:autoSpaceDN w:val="0"/>
        <w:adjustRightInd w:val="0"/>
        <w:spacing w:after="0" w:line="276" w:lineRule="auto"/>
        <w:ind w:firstLine="709"/>
        <w:jc w:val="both"/>
        <w:rPr>
          <w:rFonts w:ascii="Times New Roman" w:hAnsi="Times New Roman" w:cs="Times New Roman"/>
          <w:b/>
          <w:sz w:val="24"/>
          <w:szCs w:val="24"/>
        </w:rPr>
      </w:pPr>
      <w:r w:rsidRPr="001348B5">
        <w:rPr>
          <w:rFonts w:ascii="Times New Roman" w:hAnsi="Times New Roman" w:cs="Times New Roman"/>
          <w:b/>
          <w:i/>
          <w:iCs/>
          <w:sz w:val="24"/>
          <w:szCs w:val="24"/>
        </w:rPr>
        <w:t xml:space="preserve">Не е приложимо </w:t>
      </w:r>
    </w:p>
    <w:p w14:paraId="13103F2F" w14:textId="77777777" w:rsidR="000D0628" w:rsidRPr="000D0628" w:rsidRDefault="000D0628" w:rsidP="00321A4C">
      <w:pPr>
        <w:autoSpaceDE w:val="0"/>
        <w:autoSpaceDN w:val="0"/>
        <w:adjustRightInd w:val="0"/>
        <w:spacing w:after="0" w:line="276" w:lineRule="auto"/>
        <w:ind w:firstLine="709"/>
        <w:jc w:val="both"/>
        <w:rPr>
          <w:rFonts w:ascii="Times New Roman" w:hAnsi="Times New Roman" w:cs="Times New Roman"/>
          <w:i/>
          <w:iCs/>
          <w:sz w:val="24"/>
          <w:szCs w:val="24"/>
        </w:rPr>
      </w:pPr>
    </w:p>
    <w:p w14:paraId="71549AA7" w14:textId="77777777" w:rsidR="00741F81" w:rsidRPr="000D0628"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0D0628">
        <w:rPr>
          <w:rFonts w:ascii="Times New Roman" w:hAnsi="Times New Roman" w:cs="Times New Roman"/>
          <w:i/>
          <w:iCs/>
          <w:sz w:val="24"/>
          <w:szCs w:val="24"/>
        </w:rPr>
        <w:t xml:space="preserve">viii. Финансови мерки, включително подкрепа от ЕС и използване на средства от фондовете на ЕС на национално равнище </w:t>
      </w:r>
    </w:p>
    <w:p w14:paraId="55BDFBCB"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С предвидените промени в ЗЕЕ ще се регламентира изискване при разработване на схеми и механизми за насърчаване на енергийната ефективност в сгради да се отчитат прогнозните или постигнатите спестявания на енергия, като се вземат предвид един или няколко от следните критерии: </w:t>
      </w:r>
    </w:p>
    <w:p w14:paraId="74716FC9"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1. енергийните характеристики на оборудването или материалите, използвани при изпълнение на мерки за енергийна ефективност в сградата, монтиране на оборудването или материалите от лица, притежаващи необходимата професионална квалификация за това, придобита при условията и по реда на Закона за професионалното образование и обучение; </w:t>
      </w:r>
    </w:p>
    <w:p w14:paraId="3EDA7871"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2. стандартните стойности за изчисляване на спестяването на енергия в сградите; </w:t>
      </w:r>
    </w:p>
    <w:p w14:paraId="5E4B5BCB" w14:textId="77777777" w:rsidR="00741F81" w:rsidRPr="00321A4C" w:rsidRDefault="00741F81" w:rsidP="00321A4C">
      <w:pPr>
        <w:spacing w:after="0" w:line="276" w:lineRule="auto"/>
        <w:ind w:firstLine="709"/>
        <w:jc w:val="both"/>
        <w:rPr>
          <w:rFonts w:ascii="Times New Roman" w:hAnsi="Times New Roman" w:cs="Times New Roman"/>
          <w:color w:val="FF0000"/>
          <w:sz w:val="24"/>
          <w:szCs w:val="24"/>
          <w:lang w:val="en-US"/>
        </w:rPr>
      </w:pPr>
      <w:r w:rsidRPr="00321A4C">
        <w:rPr>
          <w:rFonts w:ascii="Times New Roman" w:hAnsi="Times New Roman" w:cs="Times New Roman"/>
          <w:color w:val="000000"/>
          <w:sz w:val="24"/>
          <w:szCs w:val="24"/>
        </w:rPr>
        <w:t>3. сравнителен анализ на сертификатите за енергийни характеристики, издадени преди и след подобряването на енергийните характеристики на сградата.</w:t>
      </w:r>
    </w:p>
    <w:p w14:paraId="0C0D654C"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4. резултатите от обследването на енергийната ефективност или от друг подходящ, прозрачен и пропорционален метод, който показва подобрение на енергийните характеристики. </w:t>
      </w:r>
    </w:p>
    <w:p w14:paraId="78F3D352" w14:textId="3DE53563"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lastRenderedPageBreak/>
        <w:t xml:space="preserve">Изпълнението на политиките и мерките в </w:t>
      </w:r>
      <w:r w:rsidR="005B5EB3">
        <w:rPr>
          <w:rFonts w:ascii="Times New Roman" w:hAnsi="Times New Roman" w:cs="Times New Roman"/>
          <w:color w:val="000000"/>
          <w:sz w:val="24"/>
          <w:szCs w:val="24"/>
        </w:rPr>
        <w:t>ИПЕК</w:t>
      </w:r>
      <w:r w:rsidRPr="00321A4C">
        <w:rPr>
          <w:rFonts w:ascii="Times New Roman" w:hAnsi="Times New Roman" w:cs="Times New Roman"/>
          <w:color w:val="000000"/>
          <w:sz w:val="24"/>
          <w:szCs w:val="24"/>
        </w:rPr>
        <w:t xml:space="preserve"> ще се осигури в рамките на бюджетите на заинтересованите министерства, ведомства и други държавни структури за съответната година. Мерките за повишаване на енергийната ефективност ще бъдат подкрепени от добре проектирани и ефективни финансови инструменти, ще се насърчава и сътрудничеството между публични и частни заинтересовани страни за разработване на широкомащабни инвестиционни програми и схеми за финансиране. За целта ще бъдат използвани средства от фондовете на Съюза, както и други схеми за финансиране на мерки за повишаване на енергийната ефективност: </w:t>
      </w:r>
    </w:p>
    <w:p w14:paraId="3CFEF244"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1. Структурни фондове 2021 – 2027 г. </w:t>
      </w:r>
    </w:p>
    <w:p w14:paraId="1BA0EFC0"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За следващата Многогодишна финансова рамка за периода 2021—2027 г. България възнамерява да използва структурните фондове за финансиране на мерки за повишаване на енергийната ефективност. </w:t>
      </w:r>
    </w:p>
    <w:p w14:paraId="081A5273"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тази връзка са определени следните инвестиционни приоритети: </w:t>
      </w:r>
    </w:p>
    <w:p w14:paraId="74D9B401" w14:textId="77777777" w:rsidR="00741F81" w:rsidRPr="000D0628" w:rsidRDefault="00741F81" w:rsidP="004F15F5">
      <w:pPr>
        <w:pStyle w:val="ListParagraph"/>
        <w:numPr>
          <w:ilvl w:val="0"/>
          <w:numId w:val="55"/>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Подкрепа за повишаване на енергийна ефективност на обществени, промишлени и жилищни сгради чрез пълно обновяване; </w:t>
      </w:r>
    </w:p>
    <w:p w14:paraId="5EDB8D56" w14:textId="77777777" w:rsidR="00741F81" w:rsidRPr="000D0628" w:rsidRDefault="00741F81" w:rsidP="004F15F5">
      <w:pPr>
        <w:pStyle w:val="ListParagraph"/>
        <w:numPr>
          <w:ilvl w:val="0"/>
          <w:numId w:val="55"/>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Подкрепа за изпълнение на мерки за повишаване на енергийната ефективност за малки и средни предприятия, големи предприятия и местните власти. </w:t>
      </w:r>
    </w:p>
    <w:p w14:paraId="27CA0990"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2. Програма Invest EU; </w:t>
      </w:r>
    </w:p>
    <w:p w14:paraId="0CDDB3AE"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3. Модернизационен фонд; </w:t>
      </w:r>
    </w:p>
    <w:p w14:paraId="3042CFF0"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4. Фонд „Енергийна ефективност и възобновяеми източници”; </w:t>
      </w:r>
    </w:p>
    <w:p w14:paraId="0E2FE6BC"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5. Национална програма за енергийна ефективност на многофамилни жилищни сгради; </w:t>
      </w:r>
    </w:p>
    <w:p w14:paraId="5EB364C8"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6. Национален доверителен „Екофонд“ – Инвестиционна програма за климата; </w:t>
      </w:r>
    </w:p>
    <w:p w14:paraId="232E261F"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7. Програма „Възобновяема енергия, енергийна ефективност, енергийна сигурност“, финансирана по Финансов механизъм на Европейското икономическо пространство 2014-2021 г. </w:t>
      </w:r>
    </w:p>
    <w:p w14:paraId="3C794875"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8. Национален план за възстановяване и устойчивост на Република България. </w:t>
      </w:r>
    </w:p>
    <w:p w14:paraId="13DD7823"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3256A311" w14:textId="77777777" w:rsidR="00741F81" w:rsidRPr="000D0628" w:rsidRDefault="00741F81" w:rsidP="000D0628">
      <w:pPr>
        <w:shd w:val="clear" w:color="auto" w:fill="FBE4D5" w:themeFill="accent2" w:themeFillTint="33"/>
        <w:autoSpaceDE w:val="0"/>
        <w:autoSpaceDN w:val="0"/>
        <w:adjustRightInd w:val="0"/>
        <w:spacing w:after="0" w:line="276" w:lineRule="auto"/>
        <w:ind w:firstLine="709"/>
        <w:jc w:val="both"/>
        <w:rPr>
          <w:rFonts w:ascii="Times New Roman" w:hAnsi="Times New Roman" w:cs="Times New Roman"/>
          <w:sz w:val="24"/>
          <w:szCs w:val="24"/>
        </w:rPr>
      </w:pPr>
      <w:r w:rsidRPr="000D0628">
        <w:rPr>
          <w:rFonts w:ascii="Times New Roman" w:hAnsi="Times New Roman" w:cs="Times New Roman"/>
          <w:b/>
          <w:bCs/>
          <w:sz w:val="24"/>
          <w:szCs w:val="24"/>
        </w:rPr>
        <w:t xml:space="preserve">Измерение „Енергийна сигурност“ </w:t>
      </w:r>
    </w:p>
    <w:p w14:paraId="40BAA089" w14:textId="77777777" w:rsidR="00741F81" w:rsidRPr="000D0628"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0D0628">
        <w:rPr>
          <w:rFonts w:ascii="Times New Roman" w:hAnsi="Times New Roman" w:cs="Times New Roman"/>
          <w:i/>
          <w:iCs/>
          <w:sz w:val="24"/>
          <w:szCs w:val="24"/>
        </w:rPr>
        <w:t>i. Политики и мерки, свързани с елементите, посочени в точка</w:t>
      </w:r>
      <w:r w:rsidR="00564CF7">
        <w:rPr>
          <w:rFonts w:ascii="Times New Roman" w:hAnsi="Times New Roman" w:cs="Times New Roman"/>
          <w:i/>
          <w:iCs/>
          <w:sz w:val="24"/>
          <w:szCs w:val="24"/>
        </w:rPr>
        <w:t>та</w:t>
      </w:r>
    </w:p>
    <w:p w14:paraId="52AD8E0C" w14:textId="77777777" w:rsidR="00741F81" w:rsidRPr="00321A4C" w:rsidRDefault="00741F81" w:rsidP="00321A4C">
      <w:pPr>
        <w:pStyle w:val="Default"/>
        <w:spacing w:line="276" w:lineRule="auto"/>
        <w:ind w:firstLine="709"/>
        <w:jc w:val="both"/>
        <w:rPr>
          <w:lang w:val="bg-BG"/>
        </w:rPr>
      </w:pPr>
      <w:r w:rsidRPr="00321A4C">
        <w:t xml:space="preserve">Политиките и мерките за сигурността в областта на енергийния сектор на страната могат да бъдат обобщени в следните приоритетни оси: диверсификация на </w:t>
      </w:r>
      <w:r w:rsidRPr="00321A4C">
        <w:rPr>
          <w:lang w:val="bg-BG"/>
        </w:rPr>
        <w:t xml:space="preserve">източниците и маршрутите за доставка на природен газ, ефективно използване на местните енергийни ресурси, повишаване на междусистемната свързаност и увеличаване на гъвкавостта на националната енергийна система, съхранение на енергия и мрежова и информационна сигурност. </w:t>
      </w:r>
    </w:p>
    <w:p w14:paraId="672F39E0"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b/>
          <w:bCs/>
          <w:color w:val="000000"/>
          <w:sz w:val="24"/>
          <w:szCs w:val="24"/>
        </w:rPr>
        <w:t xml:space="preserve">Диверсификация на източниците и маршрутите за доставка на природен газ чрез реализиране на следните проекти: </w:t>
      </w:r>
    </w:p>
    <w:p w14:paraId="19CC2636" w14:textId="77777777" w:rsidR="00741F81" w:rsidRPr="000D0628" w:rsidRDefault="00741F81" w:rsidP="004F15F5">
      <w:pPr>
        <w:pStyle w:val="ListParagraph"/>
        <w:numPr>
          <w:ilvl w:val="0"/>
          <w:numId w:val="56"/>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Междусистемна газо</w:t>
      </w:r>
      <w:r w:rsidR="00110800">
        <w:rPr>
          <w:rFonts w:ascii="Times New Roman" w:hAnsi="Times New Roman" w:cs="Times New Roman"/>
          <w:color w:val="000000"/>
          <w:sz w:val="24"/>
          <w:szCs w:val="24"/>
        </w:rPr>
        <w:t>ва връзка Гърция-България (IGB)</w:t>
      </w:r>
    </w:p>
    <w:p w14:paraId="47E2A54E" w14:textId="77777777" w:rsidR="00741F81" w:rsidRPr="000D0628" w:rsidRDefault="00741F81" w:rsidP="004F15F5">
      <w:pPr>
        <w:pStyle w:val="ListParagraph"/>
        <w:numPr>
          <w:ilvl w:val="0"/>
          <w:numId w:val="56"/>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lastRenderedPageBreak/>
        <w:t xml:space="preserve">Междусистемна връзка България-Сърбия (IBS) </w:t>
      </w:r>
    </w:p>
    <w:p w14:paraId="5CEC8A4F" w14:textId="77777777" w:rsidR="00741F81" w:rsidRPr="00321A4C" w:rsidRDefault="00741F81" w:rsidP="004F15F5">
      <w:pPr>
        <w:pStyle w:val="Default"/>
        <w:numPr>
          <w:ilvl w:val="0"/>
          <w:numId w:val="56"/>
        </w:numPr>
        <w:spacing w:line="276" w:lineRule="auto"/>
        <w:jc w:val="both"/>
      </w:pPr>
      <w:r w:rsidRPr="00321A4C">
        <w:t xml:space="preserve">Проект за LNG терминал до Александруполис </w:t>
      </w:r>
    </w:p>
    <w:p w14:paraId="7982E4E4" w14:textId="77777777" w:rsidR="00741F81" w:rsidRPr="000D0628" w:rsidRDefault="00741F81" w:rsidP="004F15F5">
      <w:pPr>
        <w:pStyle w:val="ListParagraph"/>
        <w:numPr>
          <w:ilvl w:val="0"/>
          <w:numId w:val="56"/>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Газо</w:t>
      </w:r>
      <w:r w:rsidR="00110800">
        <w:rPr>
          <w:rFonts w:ascii="Times New Roman" w:hAnsi="Times New Roman" w:cs="Times New Roman"/>
          <w:color w:val="000000"/>
          <w:sz w:val="24"/>
          <w:szCs w:val="24"/>
        </w:rPr>
        <w:t>разпределителен център „Балкан“</w:t>
      </w:r>
    </w:p>
    <w:p w14:paraId="2D940A1F" w14:textId="77777777" w:rsidR="00741F81" w:rsidRPr="000D0628" w:rsidRDefault="00741F81" w:rsidP="004F15F5">
      <w:pPr>
        <w:pStyle w:val="ListParagraph"/>
        <w:numPr>
          <w:ilvl w:val="0"/>
          <w:numId w:val="56"/>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Разширение капацитета на ПГХ „Чирен” </w:t>
      </w:r>
    </w:p>
    <w:p w14:paraId="23551484" w14:textId="77777777" w:rsidR="00741F81" w:rsidRPr="000D0628" w:rsidRDefault="00741F81" w:rsidP="004F15F5">
      <w:pPr>
        <w:pStyle w:val="ListParagraph"/>
        <w:numPr>
          <w:ilvl w:val="0"/>
          <w:numId w:val="56"/>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Рехабилитация, модернизация и разширение на б</w:t>
      </w:r>
      <w:r w:rsidR="00110800">
        <w:rPr>
          <w:rFonts w:ascii="Times New Roman" w:hAnsi="Times New Roman" w:cs="Times New Roman"/>
          <w:color w:val="000000"/>
          <w:sz w:val="24"/>
          <w:szCs w:val="24"/>
        </w:rPr>
        <w:t xml:space="preserve">ългарската газопреносна система </w:t>
      </w:r>
    </w:p>
    <w:p w14:paraId="1200C9D9"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434C3EA8"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i/>
          <w:iCs/>
          <w:color w:val="000000"/>
          <w:sz w:val="24"/>
          <w:szCs w:val="24"/>
        </w:rPr>
        <w:t xml:space="preserve">VI-ти списък с проекти от общ интерес, приет от Европейската комисия на 25.11.2023 г. </w:t>
      </w:r>
    </w:p>
    <w:p w14:paraId="5F0C8F0B"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първия списък с проекти от общ интерес и проекти от взаимен интерес по линия на преразгледания регламент за TEN-E (Регламент (ЕС) 2022/869 на Европейския парламент и на Съвета относно указания за трансевропейската енергийна инфраструктура) са включени два проекта с българско участие: за изграждане на водороден интерконектор България ‒ Гърция и CARMEN (България, Румъния) ‒ Карпатска модернизирана енергийна мрежа. </w:t>
      </w:r>
    </w:p>
    <w:p w14:paraId="7FD874EE" w14:textId="77777777" w:rsidR="00741F81" w:rsidRPr="000D0628" w:rsidRDefault="00741F81" w:rsidP="004F15F5">
      <w:pPr>
        <w:pStyle w:val="ListParagraph"/>
        <w:numPr>
          <w:ilvl w:val="0"/>
          <w:numId w:val="57"/>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„Н2 Interconnection Bulgaria-Greece” </w:t>
      </w:r>
    </w:p>
    <w:p w14:paraId="2E0AC9CB"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Проектът за водороден интерконектор България ‒ Гърция с организатор от българска страна „Булгартрансгаз" ЕАД е част от тематична област "Водород и електролизьори". </w:t>
      </w:r>
    </w:p>
    <w:p w14:paraId="6EEC49FC"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Инфраструктурата на българска територия е свързана с проект на гръцкия оператор DESFA S.A. за водородопреносна мрежа на гръцка територия в група „Н2 Interconnection Bulgaria-Greece”. </w:t>
      </w:r>
    </w:p>
    <w:p w14:paraId="79DF2F32"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Проектът ще има важен принос за реализирането на югоизточния приоритетен коридор, който ще осигури маршрут за пренос на зелен водород от Югоизточна до Централна Европа ‒ както от местно производство, така и от внос. Включването му в списъка на ПОИ ще позволи при реализацията му да се използват ускорени процедури за издаване на разрешителни, както и да се кандидатства за безвъзмездно финансиране по време на всички етапи от изпълнението. Проектът е пример за усилията, които България полага в посока декарбонизиране на газовата система и навлизането на нисковъглеродни газове. </w:t>
      </w:r>
    </w:p>
    <w:p w14:paraId="02228BAD" w14:textId="77777777" w:rsidR="00741F81" w:rsidRPr="00321A4C" w:rsidRDefault="00741F81" w:rsidP="00321A4C">
      <w:pPr>
        <w:pStyle w:val="Default"/>
        <w:spacing w:line="276" w:lineRule="auto"/>
        <w:ind w:firstLine="709"/>
        <w:jc w:val="both"/>
        <w:rPr>
          <w:lang w:val="bg-BG"/>
        </w:rPr>
      </w:pPr>
      <w:r w:rsidRPr="00321A4C">
        <w:t xml:space="preserve">Проектът предвижда изграждането на инфраструктура, предназначена за транспортиране на 100% водород. Тя включва тръбопровод с DN 1000 и дължина </w:t>
      </w:r>
      <w:r w:rsidRPr="00321A4C">
        <w:rPr>
          <w:lang w:val="bg-BG"/>
        </w:rPr>
        <w:t xml:space="preserve">около 250 км и две компресорни станции. Очакваният срок за въвеждане в експлоатация на инфраструктурата е до края на 2029 г. </w:t>
      </w:r>
    </w:p>
    <w:p w14:paraId="02551EBA"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Проектът на „Булгартрансгаз“ ЕАД представлява първата фаза от реализирането на концепцията за развитието на нова инфраструктура за пренос на чист водород на територията на Република България, включително към вътрешността на страната и за свързаност със съседните държави. Предвижда се като следваща стъпка да продължи разширяването му както във вътрешността на България, така и до трансгранични точки на междусистемно свързване със съседни страни. </w:t>
      </w:r>
    </w:p>
    <w:p w14:paraId="168885DD"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lastRenderedPageBreak/>
        <w:t xml:space="preserve">Изпълнението на проекта ще осигури капацитет за двупосочен трансграничен пренос на водород между България и Гърция в нова точка за свързване в района на Кулата/Сидирокастро. Планира се проектът в последствие да се развие в северна и източна посока и по този начин на по-късен етап да се осигури допълнителна трансгранична свързаност към Румъния и страните от региона. </w:t>
      </w:r>
    </w:p>
    <w:p w14:paraId="0E8433EB"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Проектът представлява важен етап от развитието на H2 мрежата в региона. Планираната инфраструктура се предвижда да стимулира процеса на широкомащабно внедряване на водорода както в България, така и в региона на Югоизточна Европа. </w:t>
      </w:r>
    </w:p>
    <w:p w14:paraId="00C878EA"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Изграждането на водородопреносна инфраструктура в България ще има каталитичен ефект за реализиране на мащабни инвестиции, включително във връзка с проекти, заложени в Националната пътна карта за подобряване на условията за разгръщане на потенциала за развитие на водородните технологии и механизмите за производство и доставка на водород. </w:t>
      </w:r>
    </w:p>
    <w:p w14:paraId="25D34F51"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Очаква се планираната H2 инфраструктура да допринесе за устойчивия икономически растеж, декарбонизацията на икономиката и енергетиката, заетостта и конкурентоспособността на индустрията в България и региона. </w:t>
      </w:r>
    </w:p>
    <w:p w14:paraId="3696A173"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Проектът отговаря на всички приложими технически, общи и специфични критерии към проектните предложения в областта на пренос на водород, произтичащи от Регламент (ЕС) 2022/869 за трансевропейската енергийна инфраструктура. </w:t>
      </w:r>
    </w:p>
    <w:p w14:paraId="4BBC8F6E" w14:textId="77777777" w:rsidR="00741F81"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Включването на предложения от „Булгартрансгаз“ ЕАД проект в списъка е от съществена важност за успешното му и навременно изпълнение по ефективен начин и за реализирането на приоритетния Югоизточен водороден коридор. </w:t>
      </w:r>
    </w:p>
    <w:p w14:paraId="1BD75E9B" w14:textId="77777777" w:rsidR="000D0628" w:rsidRPr="00321A4C" w:rsidRDefault="000D0628"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30552C83" w14:textId="77777777" w:rsidR="00741F81" w:rsidRPr="000D0628" w:rsidRDefault="00741F81" w:rsidP="004F15F5">
      <w:pPr>
        <w:pStyle w:val="ListParagraph"/>
        <w:numPr>
          <w:ilvl w:val="0"/>
          <w:numId w:val="57"/>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„CARMEN (BG, RO) aiming cross-border TSO-TSO cooperation and data sharing, enhance TSO-DSO cooperation, investments in grid extension and increase capacity for integration of new RES, improvement of grid stability, security and flexibility“ </w:t>
      </w:r>
    </w:p>
    <w:p w14:paraId="4E996D03"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bookmarkStart w:id="14" w:name="_Hlk202862438"/>
      <w:r w:rsidRPr="00321A4C">
        <w:rPr>
          <w:rFonts w:ascii="Times New Roman" w:hAnsi="Times New Roman" w:cs="Times New Roman"/>
          <w:color w:val="000000"/>
          <w:sz w:val="24"/>
          <w:szCs w:val="24"/>
        </w:rPr>
        <w:t xml:space="preserve">„Електроенергийният системен оператор“ (ЕСО) ЕАД </w:t>
      </w:r>
      <w:bookmarkEnd w:id="14"/>
      <w:r w:rsidRPr="00321A4C">
        <w:rPr>
          <w:rFonts w:ascii="Times New Roman" w:hAnsi="Times New Roman" w:cs="Times New Roman"/>
          <w:color w:val="000000"/>
          <w:sz w:val="24"/>
          <w:szCs w:val="24"/>
        </w:rPr>
        <w:t xml:space="preserve">се включи като активен партньор в проект „CARMEN 2: Карпатска модернизирана енергийна мрежа“. </w:t>
      </w:r>
    </w:p>
    <w:p w14:paraId="6EF7FA9B" w14:textId="77777777" w:rsidR="00741F81" w:rsidRPr="00321A4C" w:rsidRDefault="00741F81" w:rsidP="00321A4C">
      <w:pPr>
        <w:pStyle w:val="Default"/>
        <w:spacing w:line="276" w:lineRule="auto"/>
        <w:ind w:firstLine="709"/>
        <w:jc w:val="both"/>
        <w:rPr>
          <w:lang w:val="bg-BG"/>
        </w:rPr>
      </w:pPr>
      <w:r w:rsidRPr="00321A4C">
        <w:t xml:space="preserve">Проектът CARMEN е част от Петия списък с проекти от общ интерес в категорията „умни мрежи“ с участието на Delgaz Grid, оператор на разпределителната мрежа в </w:t>
      </w:r>
      <w:r w:rsidRPr="00321A4C">
        <w:rPr>
          <w:lang w:val="bg-BG"/>
        </w:rPr>
        <w:t xml:space="preserve">североизточния регион на Румъния, в партньорство с румънския преносен оператор TRANSELECTRICA и унгарския преносен оператор MAVIR. </w:t>
      </w:r>
    </w:p>
    <w:p w14:paraId="3A560971"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Участието на ЕСО ЕАД в проекта се изразява в инвестиции за повишаване способностите на българската електропреносна система за оползотворяване на установения висок потенциал за възобновяема енергия (над 8 GW, включително под формата на зелен водород) на национално и регионално равнище, в следните основни направления: </w:t>
      </w:r>
    </w:p>
    <w:p w14:paraId="11B4F4B8"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1. Комплексна цифровизация и автоматизация на преносната мрежа, включително, но не само, чрез: инсталиране на устройства за мониторинг, прогнозиране, моделиране и оптимизация на преносните капацитети в реално време (Dynamic Line Rating, DLR); внедряване на гъвкави решения за променливотоков пренос (FACTS); и създаване на </w:t>
      </w:r>
      <w:r w:rsidRPr="00321A4C">
        <w:rPr>
          <w:rFonts w:ascii="Times New Roman" w:hAnsi="Times New Roman" w:cs="Times New Roman"/>
          <w:color w:val="000000"/>
          <w:sz w:val="24"/>
          <w:szCs w:val="24"/>
        </w:rPr>
        <w:lastRenderedPageBreak/>
        <w:t xml:space="preserve">условия за по-ефективно управление на потреблението (DSR) в сътрудничество с националните оператори на разпределителни системи; </w:t>
      </w:r>
    </w:p>
    <w:p w14:paraId="661CE0F4"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2. Модернизация, укрепване и повишаване капацитета на преносната система в Северна България с оглед привеждането ѝ в готовност да интегрира и пренася значителни количества възобновяема енергия от големите ВЕИ в Северна България до центровете на потребление както в страната, така и на регионално равнище – по приоритетния коридор Север-Юг, в частност към и през Румъния. Това планирано разширение е продиктувано не само от масираното разгръщане на ВЕИ, но и от очакваното развитие на електрическа и водородна зарядна инфраструктура на цялата територия на България, което да посрещне и катализира прехода към беземисионна мобилност. </w:t>
      </w:r>
    </w:p>
    <w:p w14:paraId="7CEECDA0"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Дигитализацията, укрепването и увеличаването на капацитета на преносната система в Северна България ще даде възможност за интегриране и пренос на значителни количества възобновяема енергия от големите ВЕИ в Северна България към центровете на потребление в страната, но и на регионално ниво – по приоритетния коридор Север-Юг, по-специално до и през Румъния. Това планирано разширение и интелигентност на мрежата се налага не само от масовото внедряване на ВЕИ, но и от очакваното развитие на електрическа и водородна зарядна инфраструктура на територията на България, което ще даде тласък и ще катализира прехода към мобилност без емисии. </w:t>
      </w:r>
    </w:p>
    <w:p w14:paraId="70535CEC" w14:textId="77777777" w:rsidR="000D0628" w:rsidRDefault="000D0628" w:rsidP="00321A4C">
      <w:pPr>
        <w:autoSpaceDE w:val="0"/>
        <w:autoSpaceDN w:val="0"/>
        <w:adjustRightInd w:val="0"/>
        <w:spacing w:after="0" w:line="276" w:lineRule="auto"/>
        <w:ind w:firstLine="709"/>
        <w:jc w:val="both"/>
        <w:rPr>
          <w:rFonts w:ascii="Times New Roman" w:hAnsi="Times New Roman" w:cs="Times New Roman"/>
          <w:b/>
          <w:bCs/>
          <w:color w:val="000000"/>
          <w:sz w:val="24"/>
          <w:szCs w:val="24"/>
        </w:rPr>
      </w:pPr>
    </w:p>
    <w:p w14:paraId="4920B5DB"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b/>
          <w:bCs/>
          <w:color w:val="000000"/>
          <w:sz w:val="24"/>
          <w:szCs w:val="24"/>
        </w:rPr>
        <w:t xml:space="preserve">Ефективно използване на местните енергийни ресурси </w:t>
      </w:r>
    </w:p>
    <w:p w14:paraId="06ED7099"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Налице са предпоставки за местен добив на природен газ, което да позволи на страната да намали риска от увеличение на енергийната си зависимост от вносни енергийни ресурси за първия етап от разглеждания стратегически хоризонт до 2050 г. </w:t>
      </w:r>
    </w:p>
    <w:p w14:paraId="5E054F7C" w14:textId="77777777" w:rsidR="00741F81" w:rsidRPr="00321A4C" w:rsidRDefault="00741F81" w:rsidP="00321A4C">
      <w:pPr>
        <w:pStyle w:val="Default"/>
        <w:spacing w:line="276" w:lineRule="auto"/>
        <w:ind w:firstLine="709"/>
        <w:jc w:val="both"/>
        <w:rPr>
          <w:lang w:val="bg-BG"/>
        </w:rPr>
      </w:pPr>
      <w:r w:rsidRPr="00321A4C">
        <w:t xml:space="preserve">В страната са регистрирани газови находища с общ геоложки или търговски потенциал от общо 45 млрд. куб. м. От момента на издаване на разрешения за добив на природен газ до реален такъв е необходим период от 12 до 18 месеца, така че местните ресурси </w:t>
      </w:r>
      <w:r w:rsidRPr="00321A4C">
        <w:rPr>
          <w:lang w:val="bg-BG"/>
        </w:rPr>
        <w:t xml:space="preserve">на природен газ могат да изиграят важна роля в средносрочния хоризонт на устойчиво развитие. </w:t>
      </w:r>
    </w:p>
    <w:p w14:paraId="0CC720D7"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Развитието на местния добив на сухоземната територия на Р България ще осигури необходимия местен ресурс за периода на преход към въглеродно неутрална икономика. Той ще стимулира още по-бързото развитие на газова инфарструктура, която след 2035 г. ще посрещне нуждата от пренос на зелен водород в чисто състояние или в смес с биогаз. </w:t>
      </w:r>
    </w:p>
    <w:p w14:paraId="4E4394F2" w14:textId="77777777" w:rsidR="000D0628" w:rsidRDefault="000D0628" w:rsidP="00321A4C">
      <w:pPr>
        <w:autoSpaceDE w:val="0"/>
        <w:autoSpaceDN w:val="0"/>
        <w:adjustRightInd w:val="0"/>
        <w:spacing w:after="0" w:line="276" w:lineRule="auto"/>
        <w:ind w:firstLine="709"/>
        <w:jc w:val="both"/>
        <w:rPr>
          <w:rFonts w:ascii="Times New Roman" w:hAnsi="Times New Roman" w:cs="Times New Roman"/>
          <w:b/>
          <w:bCs/>
          <w:color w:val="000000"/>
          <w:sz w:val="24"/>
          <w:szCs w:val="24"/>
        </w:rPr>
      </w:pPr>
    </w:p>
    <w:p w14:paraId="11B5F4A3"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b/>
          <w:bCs/>
          <w:color w:val="000000"/>
          <w:sz w:val="24"/>
          <w:szCs w:val="24"/>
        </w:rPr>
        <w:t xml:space="preserve">Диверсификация на доставките на свежо ядрено гориво </w:t>
      </w:r>
    </w:p>
    <w:p w14:paraId="0C76DA33"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момента ядрената енергия е част от енергийния микс за много от държавите членки на ЕС, в т.ч. и за България. Атомните електроцентрали осигуряват базова мощност, която гарантира надеждното снабдяване с беземисионно електрическа енергия и имат важна роля за енергийната сигурност. </w:t>
      </w:r>
    </w:p>
    <w:p w14:paraId="469D86DB"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Важен аспект за развитие на ядрената енергетика е следване политиката на Евратом за диверсификация на доставките на свежо ядрено гориво, базирана на Европейската </w:t>
      </w:r>
      <w:r w:rsidRPr="00321A4C">
        <w:rPr>
          <w:rFonts w:ascii="Times New Roman" w:hAnsi="Times New Roman" w:cs="Times New Roman"/>
          <w:color w:val="000000"/>
          <w:sz w:val="24"/>
          <w:szCs w:val="24"/>
        </w:rPr>
        <w:lastRenderedPageBreak/>
        <w:t xml:space="preserve">стратегия за енергийна сигурност, приета на 28.05.2014 г., която изисква цялостно диверсифицирано портфолио на доставките на свежо ядрено гориво. Тази политика се базира на следните четири стълба: </w:t>
      </w:r>
    </w:p>
    <w:p w14:paraId="244B5F78"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1) Диверсификация при закупуването на природен уран, неговата конверсия и обогатяване. </w:t>
      </w:r>
    </w:p>
    <w:p w14:paraId="7A9A453F"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2) Диверсификация на производителите на ядрено гориво (горивни касети). </w:t>
      </w:r>
    </w:p>
    <w:p w14:paraId="0B5F8D1B"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3) Поддържане на достатъчен резерв от гориво на площадките на АЕЦ. </w:t>
      </w:r>
    </w:p>
    <w:p w14:paraId="6BB50B2A"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4) Сключване на дългосрочни договори за доставка на свежо ядрено гориво. </w:t>
      </w:r>
    </w:p>
    <w:p w14:paraId="1B7A399B"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изпълнение на тази европейската политика и с цел намаляване зависимостта на българската енергетика от един доставчик, в ход е процедура за диверсификация на доставките на свежо ядрено гориво за АЕЦ “Козлодуй” ЕАД и за бъдещите нови ядрени мощности, като основен приоритет ще бъде спазването в най-висока степен на ядрената безопасност. При реализиране на политиката за диверсификация, важни предимства ще бъдат по-добрите финансови и икономически условия. </w:t>
      </w:r>
    </w:p>
    <w:p w14:paraId="3B009FCA"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края на 2022 г. „АЕЦ Козлодуй" ЕАД подписа 10-годишен договор с „Уестингхаус Електрик Швеция АВ” за доставка на свежо ядрено гориво за 5-ти блок. Първата доставка е планирана за м. април 2024 г., а след успешно завършване на процеса по лицензиране на новото гориво се очаква да бъде заредено през м. май 2024 г. </w:t>
      </w:r>
    </w:p>
    <w:p w14:paraId="21FECFDE" w14:textId="77777777" w:rsidR="00741F81" w:rsidRPr="00465BED" w:rsidRDefault="00741F81" w:rsidP="00321A4C">
      <w:pPr>
        <w:spacing w:after="0" w:line="276" w:lineRule="auto"/>
        <w:ind w:firstLine="709"/>
        <w:jc w:val="both"/>
        <w:rPr>
          <w:rFonts w:ascii="Times New Roman" w:hAnsi="Times New Roman" w:cs="Times New Roman"/>
          <w:sz w:val="24"/>
          <w:szCs w:val="24"/>
          <w:lang w:val="en-US"/>
        </w:rPr>
      </w:pPr>
      <w:r w:rsidRPr="00321A4C">
        <w:rPr>
          <w:rFonts w:ascii="Times New Roman" w:hAnsi="Times New Roman" w:cs="Times New Roman"/>
          <w:color w:val="000000"/>
          <w:sz w:val="24"/>
          <w:szCs w:val="24"/>
        </w:rPr>
        <w:t xml:space="preserve">Същевременно през март 2023 г. „АЕЦ Козлодуй" ЕАД сключи и договор с „Фраматом” за доставка на свежо ядрено гориво за 6-и блок на централа. </w:t>
      </w:r>
      <w:r w:rsidRPr="00465BED">
        <w:rPr>
          <w:rFonts w:ascii="Times New Roman" w:hAnsi="Times New Roman" w:cs="Times New Roman"/>
          <w:sz w:val="24"/>
          <w:szCs w:val="24"/>
        </w:rPr>
        <w:t>Съгласно условията му, първата доставка на горивните касети се очаква през м. ноември 2025 г.</w:t>
      </w:r>
    </w:p>
    <w:p w14:paraId="47793610"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465BED">
        <w:rPr>
          <w:rFonts w:ascii="Times New Roman" w:hAnsi="Times New Roman" w:cs="Times New Roman"/>
          <w:sz w:val="24"/>
          <w:szCs w:val="24"/>
        </w:rPr>
        <w:t>Чрез изпълнението на тези ключови дейности България направи важна стъпка към постигане на приоритетите и целите на програмата си за диверсификация на ядренот</w:t>
      </w:r>
      <w:r w:rsidRPr="00321A4C">
        <w:rPr>
          <w:rFonts w:ascii="Times New Roman" w:hAnsi="Times New Roman" w:cs="Times New Roman"/>
          <w:color w:val="000000"/>
          <w:sz w:val="24"/>
          <w:szCs w:val="24"/>
        </w:rPr>
        <w:t xml:space="preserve">о гориво, като са установени два нови независими и конкурентни доставчика на СЯГ. </w:t>
      </w:r>
    </w:p>
    <w:p w14:paraId="101BE96B" w14:textId="77777777" w:rsidR="000D0628" w:rsidRDefault="000D0628" w:rsidP="00321A4C">
      <w:pPr>
        <w:autoSpaceDE w:val="0"/>
        <w:autoSpaceDN w:val="0"/>
        <w:adjustRightInd w:val="0"/>
        <w:spacing w:after="0" w:line="276" w:lineRule="auto"/>
        <w:ind w:firstLine="709"/>
        <w:jc w:val="both"/>
        <w:rPr>
          <w:rFonts w:ascii="Times New Roman" w:hAnsi="Times New Roman" w:cs="Times New Roman"/>
          <w:b/>
          <w:bCs/>
          <w:color w:val="000000"/>
          <w:sz w:val="24"/>
          <w:szCs w:val="24"/>
        </w:rPr>
      </w:pPr>
    </w:p>
    <w:p w14:paraId="19D66D0A"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b/>
          <w:bCs/>
          <w:color w:val="000000"/>
          <w:sz w:val="24"/>
          <w:szCs w:val="24"/>
        </w:rPr>
        <w:t xml:space="preserve">Удължаване срока на експлоатация на блокове 5 и 6 на АЕЦ „Козлодуй” ЕАД </w:t>
      </w:r>
    </w:p>
    <w:p w14:paraId="5221D0D4"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АЕЦ „Козлодуй“ ЕАД, като базова централа, има своята основна роля за поддържане устойчивост на електроенергийната система. Той осигурява около 33% от производството на електрическа енергия в страната и е гарант за енергийната сигурност на България. </w:t>
      </w:r>
    </w:p>
    <w:p w14:paraId="765537B1"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Блокове 5 и 6 на АЕЦ „Козлодуй“ с реактори ВВЕР-1000, модел В-320 са въведени в експлоатация съответно през 1987 г. и 1991 г. </w:t>
      </w:r>
    </w:p>
    <w:p w14:paraId="3E4689F8"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През периода 2014-2018 г. успешно бяха реализирани мерки по програмата за продължаване срока на експлоатация на 5-ти и 6-ти блок на АЕЦ „Козлодуй”, резултатите от които дават основание да се смята, че двата блока могат да работят при спазване на изискванията за безопасност - до 2047 г. за блок 5 и до 2051 г. за блок 6. </w:t>
      </w:r>
    </w:p>
    <w:p w14:paraId="3327D4EC"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съответствие с националното законодателство, от Агенцията за ядрено регулиране са продължени лицензиите за експлоатация на двата блока, съответно – за блок 5 до 2027 г. и за блок 6 до 2029 г. По настоящем. приоритетна цел е подготовка за прелицензиране на блок 5 и блок 6 чрез развитие на програма, която отразява актуалните търговски и технологични аспекти при тяхната експлоатацията. </w:t>
      </w:r>
    </w:p>
    <w:p w14:paraId="1A2035CE"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lastRenderedPageBreak/>
        <w:t xml:space="preserve">Също така се предвижда приоритетно изграждане на нови ядрени мощности на площадката на АЕЦ „Козлодуй“ в размер на 2 400 MW. Като за целта е в ход ускоряване на процеса по адаптиране на проекта на Уестингхауз АР1000 към площадката на АЕЦ „Козлодуй“ за реализация на блок 7 и на блок 8. </w:t>
      </w:r>
    </w:p>
    <w:p w14:paraId="60BCF208" w14:textId="77777777" w:rsidR="000D0628" w:rsidRDefault="000D0628" w:rsidP="00321A4C">
      <w:pPr>
        <w:autoSpaceDE w:val="0"/>
        <w:autoSpaceDN w:val="0"/>
        <w:adjustRightInd w:val="0"/>
        <w:spacing w:after="0" w:line="276" w:lineRule="auto"/>
        <w:ind w:firstLine="709"/>
        <w:jc w:val="both"/>
        <w:rPr>
          <w:rFonts w:ascii="Times New Roman" w:hAnsi="Times New Roman" w:cs="Times New Roman"/>
          <w:b/>
          <w:bCs/>
          <w:color w:val="000000"/>
          <w:sz w:val="24"/>
          <w:szCs w:val="24"/>
        </w:rPr>
      </w:pPr>
    </w:p>
    <w:p w14:paraId="4B9E00B6"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b/>
          <w:bCs/>
          <w:color w:val="000000"/>
          <w:sz w:val="24"/>
          <w:szCs w:val="24"/>
        </w:rPr>
        <w:t xml:space="preserve">Използване потенциала на местните въглища в страната при спазване на екологичните изисквания </w:t>
      </w:r>
    </w:p>
    <w:p w14:paraId="078E1DDD"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България използва в максимална степен съществуващия потенциал на местните въглища в страната при спазване на екологичните изисквания. </w:t>
      </w:r>
    </w:p>
    <w:p w14:paraId="721C4F4B"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Използването на местните въглищни запаси има бъдеще като стабилизиращ източник на енергия. Централите, използващи местни въглища осигуряват около 48% от производство на електрическа енергия и са гарант за енергийната сигурност на България и конкурентоспособността на българската икономика. Тези централи са основни базови електропроизводствени мощности за българската електроенергийна система и са основен доставчик на услуги за балансиране на системата, поради което те се явяват основен фактор за електроенергийната сигурност на страна. Това определя ролята на местните въглища като стратегически енергиен ресурс, по отношение на енергийната и национална сигурност на страната. </w:t>
      </w:r>
    </w:p>
    <w:p w14:paraId="431AF04C" w14:textId="77777777" w:rsidR="000D0628" w:rsidRDefault="000D0628" w:rsidP="00321A4C">
      <w:pPr>
        <w:spacing w:after="0" w:line="276" w:lineRule="auto"/>
        <w:ind w:firstLine="709"/>
        <w:jc w:val="both"/>
        <w:rPr>
          <w:rFonts w:ascii="Times New Roman" w:hAnsi="Times New Roman" w:cs="Times New Roman"/>
          <w:b/>
          <w:bCs/>
          <w:color w:val="000000"/>
          <w:sz w:val="24"/>
          <w:szCs w:val="24"/>
        </w:rPr>
      </w:pPr>
    </w:p>
    <w:p w14:paraId="7B817DC8" w14:textId="77777777" w:rsidR="00741F81" w:rsidRPr="00564CF7" w:rsidRDefault="00741F81" w:rsidP="00321A4C">
      <w:pPr>
        <w:spacing w:after="0" w:line="276" w:lineRule="auto"/>
        <w:ind w:firstLine="709"/>
        <w:jc w:val="both"/>
        <w:rPr>
          <w:rFonts w:ascii="Times New Roman" w:hAnsi="Times New Roman" w:cs="Times New Roman"/>
          <w:sz w:val="24"/>
          <w:szCs w:val="24"/>
          <w:lang w:val="en-US"/>
        </w:rPr>
      </w:pPr>
      <w:r w:rsidRPr="00321A4C">
        <w:rPr>
          <w:rFonts w:ascii="Times New Roman" w:hAnsi="Times New Roman" w:cs="Times New Roman"/>
          <w:b/>
          <w:bCs/>
          <w:color w:val="000000"/>
          <w:sz w:val="24"/>
          <w:szCs w:val="24"/>
        </w:rPr>
        <w:t>Развитие на мрежата и увеличаване на гъвкавостта на електроенергийната система</w:t>
      </w:r>
    </w:p>
    <w:p w14:paraId="31C34A42"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За увеличаване на гъвкавостта на електроенергийната система, посредством оптимизация на потреблението на енергия, България предвижда да създаде подходящи условия, чрез предприемане на законодателни мерки, за създаването на активни потребители, възможности за обединения посредством агрегатори или енергийни общности, както и активното им участие като оптимизацията на потреблението на различните пазарни сегменти. </w:t>
      </w:r>
    </w:p>
    <w:p w14:paraId="2C048F55"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През разглеждания период България предвижда да се въведат междинни мерки, които да позволят извършването на следните реформи: </w:t>
      </w:r>
    </w:p>
    <w:p w14:paraId="45FB830D"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Въвеждане на ценови граници на балансиращия пазар, които да позволяват да се дават коректни ценови сигнали към инвеститорите. Максимална и минимална цена съобразени с времевите интервали за ден напред и в рамките на деня и в съответствие с разпоредбите на Регламента за балансиране; </w:t>
      </w:r>
    </w:p>
    <w:p w14:paraId="5CDF5506"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Създаване на подходящи условия и засилване участието на оптимизацията на потреблението, представено индивидуално или чрез агрегатори, на пазара на едро на електроенергия, както и на балансиращия пазар; </w:t>
      </w:r>
    </w:p>
    <w:p w14:paraId="7ECDB612"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Надграждане на преносната мрежа с цел облекчаване на вътрешните претоварвания и увеличаване на междусистемния капацитет; </w:t>
      </w:r>
    </w:p>
    <w:p w14:paraId="34CECA26"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Предвид новите цели на ЕС в областта на енергетиката и климата за да се осигури адекватност на системата и необходимото ниво на сигурност на доставките, се предвижда </w:t>
      </w:r>
      <w:r w:rsidRPr="00321A4C">
        <w:rPr>
          <w:rFonts w:ascii="Times New Roman" w:hAnsi="Times New Roman" w:cs="Times New Roman"/>
          <w:color w:val="000000"/>
          <w:sz w:val="24"/>
          <w:szCs w:val="24"/>
        </w:rPr>
        <w:lastRenderedPageBreak/>
        <w:t xml:space="preserve">въвеждането на механизъм за капацитет на пазара на електрическа енергия за период от 10 години. </w:t>
      </w:r>
    </w:p>
    <w:p w14:paraId="7C2DE626"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Водещите принципи при разработването на план за развитие на електропреносната мрежа произтичат пряко от целите на енергийната политика на Европейския съюз, а именно: </w:t>
      </w:r>
    </w:p>
    <w:p w14:paraId="07E3318D" w14:textId="77777777" w:rsidR="00741F81" w:rsidRPr="000D0628" w:rsidRDefault="00741F81" w:rsidP="004F15F5">
      <w:pPr>
        <w:pStyle w:val="ListParagraph"/>
        <w:numPr>
          <w:ilvl w:val="0"/>
          <w:numId w:val="57"/>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Сигурност на електроснабдяването на потребителите; </w:t>
      </w:r>
    </w:p>
    <w:p w14:paraId="31F09782" w14:textId="77777777" w:rsidR="00741F81" w:rsidRPr="000D0628" w:rsidRDefault="00741F81" w:rsidP="004F15F5">
      <w:pPr>
        <w:pStyle w:val="ListParagraph"/>
        <w:numPr>
          <w:ilvl w:val="0"/>
          <w:numId w:val="57"/>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Интегриране на вътрешния и външния пазар на електроенергия; </w:t>
      </w:r>
    </w:p>
    <w:p w14:paraId="75F13349" w14:textId="77777777" w:rsidR="00741F81" w:rsidRPr="000D0628" w:rsidRDefault="00741F81" w:rsidP="004F15F5">
      <w:pPr>
        <w:pStyle w:val="ListParagraph"/>
        <w:numPr>
          <w:ilvl w:val="0"/>
          <w:numId w:val="57"/>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Намаляване на вредното въздействие върху околната среда чрез развитието на ВИ сектора; </w:t>
      </w:r>
    </w:p>
    <w:p w14:paraId="41496849" w14:textId="77777777" w:rsidR="00741F81" w:rsidRPr="000D0628" w:rsidRDefault="00741F81" w:rsidP="004F15F5">
      <w:pPr>
        <w:pStyle w:val="ListParagraph"/>
        <w:numPr>
          <w:ilvl w:val="0"/>
          <w:numId w:val="57"/>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Повишаване на ефективността на електропреносната мрежа. </w:t>
      </w:r>
    </w:p>
    <w:p w14:paraId="3832A099"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0947CC87"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Българската електропреносна мрежа е част от интегрираната преносна мрежа на страните от континентална Европа и нейното развитие е тясно свързано с развитието на мрежите на съседните страни. </w:t>
      </w:r>
    </w:p>
    <w:p w14:paraId="227DFA56" w14:textId="77777777" w:rsidR="00741F81" w:rsidRPr="00321A4C" w:rsidRDefault="00741F81" w:rsidP="00321A4C">
      <w:pPr>
        <w:pStyle w:val="Default"/>
        <w:spacing w:line="276" w:lineRule="auto"/>
        <w:ind w:firstLine="709"/>
        <w:jc w:val="both"/>
        <w:rPr>
          <w:lang w:val="bg-BG"/>
        </w:rPr>
      </w:pPr>
      <w:r w:rsidRPr="00321A4C">
        <w:t xml:space="preserve">Резултатите от пазарните изчисления, направени въз основа на прогнозата на всеки електроенергиен системен оператор за развитието на производството и потреблението на електрическа енергия, показват значителни разлики от предишния регионален </w:t>
      </w:r>
      <w:r w:rsidRPr="00321A4C">
        <w:rPr>
          <w:lang w:val="bg-BG"/>
        </w:rPr>
        <w:t xml:space="preserve">план. За първи път разработването на плана взема предвид влиянието на Турция върху региона. Прогнозите на турския оператор са за голям ръст на източници от ново поколение (над 140 GW инсталирана мощност до 2040 г.), с ниски разходи за електроенергия и целогодишни възможности за износ. В същото време инвестициите в нови широкомащабни източници на електроенергия, които са достъпни 24 часа в денонощието, които не отделят парникови газове, са предвидени в българската ЕЕС. Това ще увеличи транзитните потоци на електроенергия през нашата преносна мрежа в посока изток-запад и може да направи българо-турската и българо-сръбската граница тесни места, които биха ограничили свободната търговия. Транзитът на електроенергия през страната ни ще стане още по-голям с евентуалното затваряне на генериращи мощности в комплекс „Марица-изток“. </w:t>
      </w:r>
    </w:p>
    <w:p w14:paraId="55F97DEC"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Очаква се изграждането на нов междусистемен електропровод на напрежение 400 kV между Република България и Република Сърбия да стане след 2030 г. </w:t>
      </w:r>
    </w:p>
    <w:p w14:paraId="5F60A7EA"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Приета е концепция, преносната мрежа 220 kV да не се развива повече за общосистемни нужди, за сметка на мрежи на напрежение 400 kV и 110 kV, с изключение на изграждането на второ районно електрозахранване на град Русе. </w:t>
      </w:r>
    </w:p>
    <w:p w14:paraId="1A16AC67"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Развитието на мрежата на напрежение 110 kV е предимно локално и се определя от: </w:t>
      </w:r>
    </w:p>
    <w:p w14:paraId="72E0B093" w14:textId="77777777" w:rsidR="00741F81" w:rsidRPr="000D0628" w:rsidRDefault="00741F81" w:rsidP="004F15F5">
      <w:pPr>
        <w:pStyle w:val="ListParagraph"/>
        <w:numPr>
          <w:ilvl w:val="0"/>
          <w:numId w:val="57"/>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подобряване сигурността на захранване на потребителите; </w:t>
      </w:r>
    </w:p>
    <w:p w14:paraId="30E2EA58" w14:textId="77777777" w:rsidR="00741F81" w:rsidRPr="000D0628" w:rsidRDefault="00741F81" w:rsidP="004F15F5">
      <w:pPr>
        <w:pStyle w:val="ListParagraph"/>
        <w:numPr>
          <w:ilvl w:val="0"/>
          <w:numId w:val="57"/>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подобряване обмена на електроенергия с разпределителните мрежи; </w:t>
      </w:r>
    </w:p>
    <w:p w14:paraId="0C44FE06" w14:textId="77777777" w:rsidR="00741F81" w:rsidRPr="000D0628" w:rsidRDefault="00741F81" w:rsidP="004F15F5">
      <w:pPr>
        <w:pStyle w:val="ListParagraph"/>
        <w:numPr>
          <w:ilvl w:val="0"/>
          <w:numId w:val="57"/>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присъединяване на клиенти с висока консумация и категория на осигуреност; </w:t>
      </w:r>
    </w:p>
    <w:p w14:paraId="4DD1EDAB" w14:textId="77777777" w:rsidR="00741F81" w:rsidRPr="000D0628" w:rsidRDefault="00741F81" w:rsidP="004F15F5">
      <w:pPr>
        <w:pStyle w:val="ListParagraph"/>
        <w:numPr>
          <w:ilvl w:val="0"/>
          <w:numId w:val="57"/>
        </w:numPr>
        <w:autoSpaceDE w:val="0"/>
        <w:autoSpaceDN w:val="0"/>
        <w:adjustRightInd w:val="0"/>
        <w:spacing w:after="0" w:line="276" w:lineRule="auto"/>
        <w:jc w:val="both"/>
        <w:rPr>
          <w:rFonts w:ascii="Times New Roman" w:hAnsi="Times New Roman" w:cs="Times New Roman"/>
          <w:color w:val="000000"/>
          <w:sz w:val="24"/>
          <w:szCs w:val="24"/>
        </w:rPr>
      </w:pPr>
      <w:r w:rsidRPr="000D0628">
        <w:rPr>
          <w:rFonts w:ascii="Times New Roman" w:hAnsi="Times New Roman" w:cs="Times New Roman"/>
          <w:color w:val="000000"/>
          <w:sz w:val="24"/>
          <w:szCs w:val="24"/>
        </w:rPr>
        <w:t xml:space="preserve">присъединяване на генериращи модули с мощност над 20MW. </w:t>
      </w:r>
    </w:p>
    <w:p w14:paraId="09978986"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15838956"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b/>
          <w:bCs/>
          <w:color w:val="000000"/>
          <w:sz w:val="24"/>
          <w:szCs w:val="24"/>
        </w:rPr>
        <w:t xml:space="preserve">Съхранение на енергия </w:t>
      </w:r>
    </w:p>
    <w:p w14:paraId="72386FCC"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lastRenderedPageBreak/>
        <w:t xml:space="preserve">България планира да разработи няколко проекта за съхранение на електроенергия с цел осигуряване на баланс и гъвкавост на системата, засилване на позицията на България на износител и осигуряване на трансгранична гъвкавост на системата. Тези проекти ще улеснят и по-нататъшното развитие на ВИ и интегрирането им в националната енергийна система, като се има предвид променливостта на такива енергийни източници. В тази връзка се предвиждат следните проекти: </w:t>
      </w:r>
    </w:p>
    <w:p w14:paraId="7A25D0DA"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увеличаване на експлоатационния потенциал на ПАВЕЦ „Чаира“ чрез изграждането на язовир „Яденица“, което ще даде възможност за оптимизиране на структурата на генериращите мощности. Очаква се инвестиционните нужди да възлизат на около 220 млн. евро; </w:t>
      </w:r>
    </w:p>
    <w:p w14:paraId="17CA4331"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приблизително 200 млн. евро инвестиции в батерии за регулиране на честотата, чиято обща мощност е около 180 MW; </w:t>
      </w:r>
    </w:p>
    <w:p w14:paraId="45807C5A" w14:textId="77777777" w:rsidR="00741F81" w:rsidRPr="00321A4C" w:rsidRDefault="00741F81" w:rsidP="00321A4C">
      <w:pPr>
        <w:pStyle w:val="Default"/>
        <w:spacing w:line="276" w:lineRule="auto"/>
        <w:ind w:firstLine="709"/>
        <w:jc w:val="both"/>
        <w:rPr>
          <w:lang w:val="bg-BG"/>
        </w:rPr>
      </w:pPr>
      <w:r w:rsidRPr="00321A4C">
        <w:t xml:space="preserve">• около 200 млн. евро инвестиции за насърчаване комбинирането на нови ВИ с локални съоръжения за съхранение на електрическа енергия в зависимост </w:t>
      </w:r>
    </w:p>
    <w:p w14:paraId="6D2F6275"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от подходящото технологично решение за съответните проекти (общо около 200 MW). </w:t>
      </w:r>
    </w:p>
    <w:p w14:paraId="4DE11392" w14:textId="77777777" w:rsidR="000D0628" w:rsidRDefault="000D0628" w:rsidP="00321A4C">
      <w:pPr>
        <w:autoSpaceDE w:val="0"/>
        <w:autoSpaceDN w:val="0"/>
        <w:adjustRightInd w:val="0"/>
        <w:spacing w:after="0" w:line="276" w:lineRule="auto"/>
        <w:ind w:firstLine="709"/>
        <w:jc w:val="both"/>
        <w:rPr>
          <w:rFonts w:ascii="Times New Roman" w:hAnsi="Times New Roman" w:cs="Times New Roman"/>
          <w:b/>
          <w:bCs/>
          <w:color w:val="000000"/>
          <w:sz w:val="24"/>
          <w:szCs w:val="24"/>
        </w:rPr>
      </w:pPr>
    </w:p>
    <w:p w14:paraId="4EB8A5A0"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b/>
          <w:bCs/>
          <w:color w:val="000000"/>
          <w:sz w:val="24"/>
          <w:szCs w:val="24"/>
        </w:rPr>
        <w:t xml:space="preserve">Търсене и проучване за добив на нефт и природен газ в дълбоко Черно море </w:t>
      </w:r>
    </w:p>
    <w:p w14:paraId="1CB6BFF2"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По отношение на разрешенията за проучване на нефт и природен газ, дадени от Министерството на енергетиката, има очаквания за увеличаване на дела на местното производство и намаляване на зависимостта на страната от внос на природен газ. </w:t>
      </w:r>
    </w:p>
    <w:p w14:paraId="29EE7212"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Към 01.02.2023 г. има едно действащо разрешение за търсене и проучване за нефт и природен газ в изключителната икономическа зона на Р. България в Черно море - „Блок 1-21 Хан Аспарух“. Титуляр на разрешението са дружествата „ТоталЕнерджис Е§П България“ Б.В и „ОМВ Офшор България“ ГмбХ. </w:t>
      </w:r>
    </w:p>
    <w:p w14:paraId="3B9AD722"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С Решение № 578 от 25 август 2023 г. Министерският съвет откри производство за предоставяне на разрешение за търсене и проучване на нефт и природен газ - подземни богатства по чл. 2, ал. 1, т. 3 от ЗПБ в нова площ „Блок 1-26 Хан Тервел“, разположена в изключителната икономическа зона на Република България в Черно море. Решението е обнародвано в „Държавен вестник“, бр. 75 от 25 август 2023 г. </w:t>
      </w:r>
    </w:p>
    <w:p w14:paraId="3E3C0ED7" w14:textId="77777777" w:rsidR="000D0628" w:rsidRDefault="000D0628" w:rsidP="00321A4C">
      <w:pPr>
        <w:autoSpaceDE w:val="0"/>
        <w:autoSpaceDN w:val="0"/>
        <w:adjustRightInd w:val="0"/>
        <w:spacing w:after="0" w:line="276" w:lineRule="auto"/>
        <w:ind w:firstLine="709"/>
        <w:jc w:val="both"/>
        <w:rPr>
          <w:rFonts w:ascii="Times New Roman" w:hAnsi="Times New Roman" w:cs="Times New Roman"/>
          <w:b/>
          <w:bCs/>
          <w:color w:val="000000"/>
          <w:sz w:val="24"/>
          <w:szCs w:val="24"/>
        </w:rPr>
      </w:pPr>
    </w:p>
    <w:p w14:paraId="21121FA1"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b/>
          <w:bCs/>
          <w:color w:val="000000"/>
          <w:sz w:val="24"/>
          <w:szCs w:val="24"/>
        </w:rPr>
        <w:t xml:space="preserve">Мрежова и информационна сигурност (киберсигурност) </w:t>
      </w:r>
    </w:p>
    <w:p w14:paraId="4F542EF1"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Мрежовата и информационната сигурност на енергийната система е сигурността на съобщителните електронни мрежи и информационните системи за управление на енергийната система. Тя е съществен елемент на националната сигурност. Управлението на енергийните мрежи за осигуряване на постоянно съответствие между потреблението и производството на енергия изисква непрекъснато нарастваща степен на цифровизация. Това е свързано и с новите рискове, тъй като цифровизацията във все по-голяма степен излага енергийната система на кибератаки и инциденти, които могат да застрашат сигурността на енергийните доставки. </w:t>
      </w:r>
    </w:p>
    <w:p w14:paraId="6B99AA04" w14:textId="77777777" w:rsidR="00741F81" w:rsidRPr="00321A4C" w:rsidRDefault="00741F81" w:rsidP="00321A4C">
      <w:pPr>
        <w:pStyle w:val="Default"/>
        <w:spacing w:line="276" w:lineRule="auto"/>
        <w:ind w:firstLine="709"/>
        <w:jc w:val="both"/>
        <w:rPr>
          <w:lang w:val="bg-BG"/>
        </w:rPr>
      </w:pPr>
      <w:r w:rsidRPr="00321A4C">
        <w:lastRenderedPageBreak/>
        <w:t xml:space="preserve">Република България ще продължи своите усилия за повишаване на мрежовата и информационната сигурност на енергийната система, чрез стратегическо сътрудничество и обмен на информация с останалите държави членки. Съгласно Директива (ЕС) 2016/1148 относно мерки за високо общо ниво на сигурност на мрежите и информационните системи в Съюза, транспонирана в националното законодателство със Закона за киберсигурност, енергийните предприятия за електрическа енергия и природен газ и доставчиците на цифрови услуги имат задължение да прилагат мерки за осигуряване на ниво на мрежова и информационна сигурност и мерки за предотвратяване и намаляване на въздействието на инцидентите, засягащи мрежовата и информационната им сигурност. В тази връзка, на основание Закона за киберсигурност, с Решение на Министерския съвет от април 2019 г., Министърът на енергетиката е определен за административен орган, към който се създава национален компетентен орган по мрежова и информационна сигурност за сектор „Енергетика“. Националният компетентен орган отговаря за организацията, координацията и контрола на дейностите и мерките по мрежовата и информационна сигурност за Министерство на енергетиката и определените </w:t>
      </w:r>
      <w:r w:rsidRPr="00321A4C">
        <w:rPr>
          <w:lang w:val="bg-BG"/>
        </w:rPr>
        <w:t xml:space="preserve">оператори на съществени услуги в енергийния сектор, произтичащи от Закона за киберсигурността. </w:t>
      </w:r>
    </w:p>
    <w:p w14:paraId="011C4CD3"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Предвид същественото значение на киберсигурността за управлението и функционирането на енергийния сектор се предвижда да бъдат въведени допълнително в енергийната система на страната, необходимите високо-технологични решения на ниво – лицензирани хардуер и софтуер за мониторинг и активна киберзащита на мрежовите и информационните системи за управление и работа на енергийната система, както и да бъде ускорен процеса по периодичното обучение на персонала и по осигуряването на необходимите човешки ресурси. </w:t>
      </w:r>
    </w:p>
    <w:p w14:paraId="35BBE763" w14:textId="77777777" w:rsidR="000D0628" w:rsidRPr="000D0628" w:rsidRDefault="000D0628" w:rsidP="00321A4C">
      <w:pPr>
        <w:autoSpaceDE w:val="0"/>
        <w:autoSpaceDN w:val="0"/>
        <w:adjustRightInd w:val="0"/>
        <w:spacing w:after="0" w:line="276" w:lineRule="auto"/>
        <w:ind w:firstLine="709"/>
        <w:jc w:val="both"/>
        <w:rPr>
          <w:rFonts w:ascii="Times New Roman" w:hAnsi="Times New Roman" w:cs="Times New Roman"/>
          <w:i/>
          <w:iCs/>
          <w:sz w:val="24"/>
          <w:szCs w:val="24"/>
        </w:rPr>
      </w:pPr>
    </w:p>
    <w:p w14:paraId="04A8854E" w14:textId="77777777" w:rsidR="00741F81" w:rsidRPr="000D0628"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0D0628">
        <w:rPr>
          <w:rFonts w:ascii="Times New Roman" w:hAnsi="Times New Roman" w:cs="Times New Roman"/>
          <w:i/>
          <w:iCs/>
          <w:sz w:val="24"/>
          <w:szCs w:val="24"/>
        </w:rPr>
        <w:t xml:space="preserve">ii. Регионално сътрудничество в тази област </w:t>
      </w:r>
    </w:p>
    <w:p w14:paraId="500EB316"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Като държава членка на ЕС, страната ни работи активно за изграждането на устойчив Енергиен съюз и за увеличаване потенциала на регионалното сътрудничество. Българската държава поддържа традиционно добри взаимоотношения с другите страни от региона, както на двустранна основа, така и в рамките на ЕС и различни международни инициативи като: Процеса за сътрудничество в Югоизточна Европа, Пакта за стабилност и неговия правоприемник Съветът за регионално сътрудничество, Групата на високо ниво за газовата междусистемна свързаност в Централна и Югоизточна Европа (CESEC). </w:t>
      </w:r>
    </w:p>
    <w:p w14:paraId="5EF94435"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За дългосрочното и взаимноизгодно развитие на енергийните отношения между страните от региона, с висока степен на приоритетност също така, е и наличието на обща нормативна рамка в областта на енергийното законодателство на ЕС. </w:t>
      </w:r>
    </w:p>
    <w:p w14:paraId="1BBA90B4" w14:textId="77777777" w:rsidR="000D0628" w:rsidRDefault="000D0628" w:rsidP="00321A4C">
      <w:pPr>
        <w:autoSpaceDE w:val="0"/>
        <w:autoSpaceDN w:val="0"/>
        <w:adjustRightInd w:val="0"/>
        <w:spacing w:after="0" w:line="276" w:lineRule="auto"/>
        <w:ind w:firstLine="709"/>
        <w:jc w:val="both"/>
        <w:rPr>
          <w:rFonts w:ascii="Times New Roman" w:hAnsi="Times New Roman" w:cs="Times New Roman"/>
          <w:i/>
          <w:iCs/>
          <w:sz w:val="24"/>
          <w:szCs w:val="24"/>
        </w:rPr>
      </w:pPr>
    </w:p>
    <w:p w14:paraId="5F4E0EFF" w14:textId="77777777" w:rsidR="00741F81" w:rsidRPr="000D0628"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0D0628">
        <w:rPr>
          <w:rFonts w:ascii="Times New Roman" w:hAnsi="Times New Roman" w:cs="Times New Roman"/>
          <w:i/>
          <w:iCs/>
          <w:sz w:val="24"/>
          <w:szCs w:val="24"/>
        </w:rPr>
        <w:t xml:space="preserve">iii. Когато е приложимо, финансови мерки в тази област на национално равнище, включително подкрепа от Съюза и използване на средства от фондовете на Съюза </w:t>
      </w:r>
    </w:p>
    <w:p w14:paraId="50A24306"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За финансиране на ключовите проекти в областта на преносната електроенергийна инфраструктура се предвижда да бъдат използвани средства от европейския финансов </w:t>
      </w:r>
      <w:r w:rsidRPr="00321A4C">
        <w:rPr>
          <w:rFonts w:ascii="Times New Roman" w:hAnsi="Times New Roman" w:cs="Times New Roman"/>
          <w:color w:val="000000"/>
          <w:sz w:val="24"/>
          <w:szCs w:val="24"/>
        </w:rPr>
        <w:lastRenderedPageBreak/>
        <w:t xml:space="preserve">„Механизъм за свързване на Европа“, новите механизми за финансиране на ниско въглеродни иновации и модернизация на енергийния сектор, предвидени в Четвъртата фаза на схемата за търговия с емисии на парникови газове на ЕС, както и други програми с европейско и национално финансиране. </w:t>
      </w:r>
    </w:p>
    <w:p w14:paraId="7BF216B7" w14:textId="77777777" w:rsidR="00741F81"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Финансирането на ключовите проекти в областта на газопреносната инфраструктура се осъществява частично чрез: Европейската енергийна програма за възстановяване, Оперативна програма „Иновации и конкурентоспособност“ 2014-2020 г., ОП „Развитие на конкурентоспособността на българската икономика”, програма „Механизъм за свързване на Европа“.</w:t>
      </w:r>
    </w:p>
    <w:p w14:paraId="115E6D02" w14:textId="77777777" w:rsidR="00BA0DDB" w:rsidRPr="00321A4C" w:rsidRDefault="00BA0DDB" w:rsidP="00321A4C">
      <w:pPr>
        <w:autoSpaceDE w:val="0"/>
        <w:autoSpaceDN w:val="0"/>
        <w:adjustRightInd w:val="0"/>
        <w:spacing w:after="0" w:line="276" w:lineRule="auto"/>
        <w:ind w:firstLine="709"/>
        <w:jc w:val="both"/>
        <w:rPr>
          <w:rFonts w:ascii="Times New Roman" w:hAnsi="Times New Roman" w:cs="Times New Roman"/>
          <w:color w:val="000000"/>
          <w:sz w:val="24"/>
          <w:szCs w:val="24"/>
          <w:lang w:val="en-US"/>
        </w:rPr>
      </w:pPr>
    </w:p>
    <w:p w14:paraId="6E88A962" w14:textId="77777777" w:rsidR="00741F81" w:rsidRPr="000D0628" w:rsidRDefault="00741F81" w:rsidP="000D0628">
      <w:pPr>
        <w:shd w:val="clear" w:color="auto" w:fill="FBE4D5" w:themeFill="accent2" w:themeFillTint="33"/>
        <w:autoSpaceDE w:val="0"/>
        <w:autoSpaceDN w:val="0"/>
        <w:adjustRightInd w:val="0"/>
        <w:spacing w:after="0" w:line="276" w:lineRule="auto"/>
        <w:ind w:firstLine="709"/>
        <w:jc w:val="both"/>
        <w:rPr>
          <w:rFonts w:ascii="Times New Roman" w:hAnsi="Times New Roman" w:cs="Times New Roman"/>
          <w:sz w:val="24"/>
          <w:szCs w:val="24"/>
        </w:rPr>
      </w:pPr>
      <w:r w:rsidRPr="000D0628">
        <w:rPr>
          <w:rFonts w:ascii="Times New Roman" w:hAnsi="Times New Roman" w:cs="Times New Roman"/>
          <w:b/>
          <w:bCs/>
          <w:sz w:val="24"/>
          <w:szCs w:val="24"/>
        </w:rPr>
        <w:t>Измерение „Вътрешен енергиен пазар“</w:t>
      </w:r>
    </w:p>
    <w:p w14:paraId="0BD715A2" w14:textId="77777777" w:rsidR="00741F81" w:rsidRPr="000D0628" w:rsidRDefault="00741F81" w:rsidP="00321A4C">
      <w:pPr>
        <w:autoSpaceDE w:val="0"/>
        <w:autoSpaceDN w:val="0"/>
        <w:adjustRightInd w:val="0"/>
        <w:spacing w:after="0" w:line="276" w:lineRule="auto"/>
        <w:ind w:firstLine="709"/>
        <w:jc w:val="both"/>
        <w:rPr>
          <w:rFonts w:ascii="Times New Roman" w:hAnsi="Times New Roman" w:cs="Times New Roman"/>
          <w:b/>
          <w:sz w:val="24"/>
          <w:szCs w:val="24"/>
        </w:rPr>
      </w:pPr>
      <w:r w:rsidRPr="000D0628">
        <w:rPr>
          <w:rFonts w:ascii="Times New Roman" w:hAnsi="Times New Roman" w:cs="Times New Roman"/>
          <w:b/>
          <w:sz w:val="24"/>
          <w:szCs w:val="24"/>
        </w:rPr>
        <w:t xml:space="preserve">Електроенергийна инфраструктура </w:t>
      </w:r>
    </w:p>
    <w:p w14:paraId="5565933C" w14:textId="77777777" w:rsidR="00741F81" w:rsidRPr="000D0628"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0D0628">
        <w:rPr>
          <w:rFonts w:ascii="Times New Roman" w:hAnsi="Times New Roman" w:cs="Times New Roman"/>
          <w:i/>
          <w:iCs/>
          <w:sz w:val="24"/>
          <w:szCs w:val="24"/>
        </w:rPr>
        <w:t xml:space="preserve">i. Политики и мерки за постигане на целевото равнище на междусистемна свързаност, посочено в чл. 4, буква г) </w:t>
      </w:r>
    </w:p>
    <w:p w14:paraId="34CE4528"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съответствие с член 16, пар. 8 от Регламент (ЕС) 2019/943, относно вътрешния пазар на електроенергия, предвижда операторите на преносни системи да не ограничават обема на междусистемния капацитет, който трябва да бъде на разположение на участниците на пазара като средство за справяне с претоварване в своята собствена пазарна зона или като средство за управление на потоците, получени от сделки, които са вътрешни за пазарните зони. Това изискване е спазено, когато е достигнат минимален праг 70% от преносния капацитет между търговските зони, като се спазват стандартите за безопасност за сигурна експлоатация на мрежата, включително при спазване на стандарта за сигурност при извънредни ситуации (N-1). Към момента, преки задължения по този регламент имат Гърция, България и Румъния, които са предприели съответните технически и организационни мерки за неговото изпълнение. Има обаче неяснота с третите страни, извън ЕС, с които е необходимо сключването на съответните допълнителни договори за изпълнение на член 16, пар. 8 от Регламент (ЕС) 2019/943. </w:t>
      </w:r>
    </w:p>
    <w:p w14:paraId="683FD9A2" w14:textId="77777777" w:rsidR="000D0628" w:rsidRPr="000D0628" w:rsidRDefault="000D0628" w:rsidP="00321A4C">
      <w:pPr>
        <w:autoSpaceDE w:val="0"/>
        <w:autoSpaceDN w:val="0"/>
        <w:adjustRightInd w:val="0"/>
        <w:spacing w:after="0" w:line="276" w:lineRule="auto"/>
        <w:ind w:firstLine="709"/>
        <w:jc w:val="both"/>
        <w:rPr>
          <w:rFonts w:ascii="Times New Roman" w:hAnsi="Times New Roman" w:cs="Times New Roman"/>
          <w:i/>
          <w:iCs/>
          <w:sz w:val="24"/>
          <w:szCs w:val="24"/>
        </w:rPr>
      </w:pPr>
    </w:p>
    <w:p w14:paraId="748D0E57" w14:textId="77777777" w:rsidR="00741F81" w:rsidRPr="000D0628"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0D0628">
        <w:rPr>
          <w:rFonts w:ascii="Times New Roman" w:hAnsi="Times New Roman" w:cs="Times New Roman"/>
          <w:i/>
          <w:iCs/>
          <w:sz w:val="24"/>
          <w:szCs w:val="24"/>
        </w:rPr>
        <w:t xml:space="preserve">ii. Регионално сътрудничество в тази област </w:t>
      </w:r>
    </w:p>
    <w:p w14:paraId="626C0E6C"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България напълно отчита ролята на проектите от общ интерес, съгласно Регламент № 347/2013 относно трансевропейската енергийна инфраструктура, за завършване на Европейския вътрешен енергиен пазар и постигане на целите на енергийната политика на ЕС, за да обезпечи сигурността на електроенергийните доставки за страната и региона на Югоизточна Европа. </w:t>
      </w:r>
    </w:p>
    <w:p w14:paraId="667237F3" w14:textId="77777777" w:rsidR="000D0628" w:rsidRPr="000D0628" w:rsidRDefault="000D0628" w:rsidP="00321A4C">
      <w:pPr>
        <w:autoSpaceDE w:val="0"/>
        <w:autoSpaceDN w:val="0"/>
        <w:adjustRightInd w:val="0"/>
        <w:spacing w:after="0" w:line="276" w:lineRule="auto"/>
        <w:ind w:firstLine="709"/>
        <w:jc w:val="both"/>
        <w:rPr>
          <w:rFonts w:ascii="Times New Roman" w:hAnsi="Times New Roman" w:cs="Times New Roman"/>
          <w:i/>
          <w:iCs/>
          <w:sz w:val="24"/>
          <w:szCs w:val="24"/>
        </w:rPr>
      </w:pPr>
    </w:p>
    <w:p w14:paraId="46D942A3" w14:textId="77777777" w:rsidR="00741F81" w:rsidRPr="000D0628"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0D0628">
        <w:rPr>
          <w:rFonts w:ascii="Times New Roman" w:hAnsi="Times New Roman" w:cs="Times New Roman"/>
          <w:i/>
          <w:iCs/>
          <w:sz w:val="24"/>
          <w:szCs w:val="24"/>
        </w:rPr>
        <w:t xml:space="preserve">iii. Когато е приложимо, финансови мерки в тази област на национално равнище, включително подкрепа от Съюза и използване на средства от фондовете на Съюза </w:t>
      </w:r>
    </w:p>
    <w:p w14:paraId="17DE4D7F" w14:textId="77777777" w:rsidR="00741F81" w:rsidRPr="00BA0DDB"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BA0DDB">
        <w:rPr>
          <w:rFonts w:ascii="Times New Roman" w:hAnsi="Times New Roman" w:cs="Times New Roman"/>
          <w:iCs/>
          <w:color w:val="000000"/>
          <w:sz w:val="24"/>
          <w:szCs w:val="24"/>
        </w:rPr>
        <w:t>Финансиране на ключови проекти за модернизация и разширение на електропреносна инфраструктура на Р</w:t>
      </w:r>
      <w:r w:rsidR="00465BED">
        <w:rPr>
          <w:rFonts w:ascii="Times New Roman" w:hAnsi="Times New Roman" w:cs="Times New Roman"/>
          <w:iCs/>
          <w:color w:val="000000"/>
          <w:sz w:val="24"/>
          <w:szCs w:val="24"/>
        </w:rPr>
        <w:t>.</w:t>
      </w:r>
      <w:r w:rsidRPr="00BA0DDB">
        <w:rPr>
          <w:rFonts w:ascii="Times New Roman" w:hAnsi="Times New Roman" w:cs="Times New Roman"/>
          <w:iCs/>
          <w:color w:val="000000"/>
          <w:sz w:val="24"/>
          <w:szCs w:val="24"/>
        </w:rPr>
        <w:t xml:space="preserve"> България: </w:t>
      </w:r>
    </w:p>
    <w:p w14:paraId="464FB24A" w14:textId="77777777" w:rsidR="00741F81" w:rsidRPr="000D0628" w:rsidRDefault="00741F81" w:rsidP="00321A4C">
      <w:pPr>
        <w:spacing w:after="0" w:line="276" w:lineRule="auto"/>
        <w:ind w:firstLine="709"/>
        <w:jc w:val="both"/>
        <w:rPr>
          <w:rFonts w:ascii="Times New Roman" w:hAnsi="Times New Roman" w:cs="Times New Roman"/>
          <w:sz w:val="24"/>
          <w:szCs w:val="24"/>
          <w:lang w:val="en-US"/>
        </w:rPr>
      </w:pPr>
      <w:r w:rsidRPr="00321A4C">
        <w:rPr>
          <w:rFonts w:ascii="Times New Roman" w:hAnsi="Times New Roman" w:cs="Times New Roman"/>
          <w:color w:val="000000"/>
          <w:sz w:val="24"/>
          <w:szCs w:val="24"/>
        </w:rPr>
        <w:lastRenderedPageBreak/>
        <w:t xml:space="preserve">За финансиране на ключовите проекти в областта на преносната електроенергийна инфраструктура е предвидено да бъдат използвани средства от европейския финансов „Механизъм за свързване на Европа“, новите механизми за финансиране на ниско </w:t>
      </w:r>
      <w:r w:rsidRPr="000D0628">
        <w:rPr>
          <w:rFonts w:ascii="Times New Roman" w:hAnsi="Times New Roman" w:cs="Times New Roman"/>
          <w:sz w:val="24"/>
          <w:szCs w:val="24"/>
        </w:rPr>
        <w:t>въглеродни иновации и модернизация на енергийния сектор, предвидени в Четвъртата фаза на схемата за търговия с емисии на парникови газове на ЕС, както и други програми с европейско и национално финансиране.</w:t>
      </w:r>
    </w:p>
    <w:p w14:paraId="7A77A0B6" w14:textId="77777777" w:rsidR="000D0628" w:rsidRDefault="000D0628" w:rsidP="00321A4C">
      <w:pPr>
        <w:autoSpaceDE w:val="0"/>
        <w:autoSpaceDN w:val="0"/>
        <w:adjustRightInd w:val="0"/>
        <w:spacing w:after="0" w:line="276" w:lineRule="auto"/>
        <w:ind w:firstLine="709"/>
        <w:jc w:val="both"/>
        <w:rPr>
          <w:rFonts w:ascii="Times New Roman" w:hAnsi="Times New Roman" w:cs="Times New Roman"/>
          <w:sz w:val="24"/>
          <w:szCs w:val="24"/>
        </w:rPr>
      </w:pPr>
    </w:p>
    <w:p w14:paraId="5A5D7288" w14:textId="77777777" w:rsidR="00741F81" w:rsidRPr="000D0628" w:rsidRDefault="00741F81" w:rsidP="00321A4C">
      <w:pPr>
        <w:autoSpaceDE w:val="0"/>
        <w:autoSpaceDN w:val="0"/>
        <w:adjustRightInd w:val="0"/>
        <w:spacing w:after="0" w:line="276" w:lineRule="auto"/>
        <w:ind w:firstLine="709"/>
        <w:jc w:val="both"/>
        <w:rPr>
          <w:rFonts w:ascii="Times New Roman" w:hAnsi="Times New Roman" w:cs="Times New Roman"/>
          <w:b/>
          <w:sz w:val="24"/>
          <w:szCs w:val="24"/>
        </w:rPr>
      </w:pPr>
      <w:r w:rsidRPr="000D0628">
        <w:rPr>
          <w:rFonts w:ascii="Times New Roman" w:hAnsi="Times New Roman" w:cs="Times New Roman"/>
          <w:b/>
          <w:sz w:val="24"/>
          <w:szCs w:val="24"/>
        </w:rPr>
        <w:t xml:space="preserve">Електропреносна и газопреносна инфраструктура </w:t>
      </w:r>
    </w:p>
    <w:p w14:paraId="4DFFB488" w14:textId="6957E285" w:rsidR="00741F81" w:rsidRPr="000D0628"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0D0628">
        <w:rPr>
          <w:rFonts w:ascii="Times New Roman" w:hAnsi="Times New Roman" w:cs="Times New Roman"/>
          <w:i/>
          <w:iCs/>
          <w:sz w:val="24"/>
          <w:szCs w:val="24"/>
        </w:rPr>
        <w:t>i. Политики и мерки, свързани с елементите, посочени в точка 2.4.2</w:t>
      </w:r>
      <w:r w:rsidR="00F96654">
        <w:rPr>
          <w:rFonts w:ascii="Times New Roman" w:hAnsi="Times New Roman" w:cs="Times New Roman"/>
          <w:i/>
          <w:iCs/>
          <w:sz w:val="24"/>
          <w:szCs w:val="24"/>
        </w:rPr>
        <w:t xml:space="preserve"> на </w:t>
      </w:r>
      <w:r w:rsidR="005B5EB3">
        <w:rPr>
          <w:rFonts w:ascii="Times New Roman" w:hAnsi="Times New Roman" w:cs="Times New Roman"/>
          <w:i/>
          <w:iCs/>
          <w:sz w:val="24"/>
          <w:szCs w:val="24"/>
        </w:rPr>
        <w:t>ИПЕК</w:t>
      </w:r>
      <w:r w:rsidR="00564CF7">
        <w:rPr>
          <w:color w:val="365F91"/>
        </w:rPr>
        <w:t xml:space="preserve">. </w:t>
      </w:r>
      <w:r w:rsidR="00564CF7" w:rsidRPr="00564CF7">
        <w:rPr>
          <w:rFonts w:ascii="Times New Roman" w:hAnsi="Times New Roman" w:cs="Times New Roman"/>
          <w:i/>
          <w:iCs/>
          <w:sz w:val="24"/>
          <w:szCs w:val="24"/>
        </w:rPr>
        <w:t>Електропреносна и газопреносна инфраструктура</w:t>
      </w:r>
      <w:r w:rsidRPr="000D0628">
        <w:rPr>
          <w:rFonts w:ascii="Times New Roman" w:hAnsi="Times New Roman" w:cs="Times New Roman"/>
          <w:i/>
          <w:iCs/>
          <w:sz w:val="24"/>
          <w:szCs w:val="24"/>
        </w:rPr>
        <w:t xml:space="preserve">, включително, когато е приложимо, специфични мерки, позволяващи изпълнението на проекти от общ интерес (ПОИ) и други основни инфраструктурни проекти </w:t>
      </w:r>
    </w:p>
    <w:p w14:paraId="65BD992D"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0D0628">
        <w:rPr>
          <w:rFonts w:ascii="Times New Roman" w:hAnsi="Times New Roman" w:cs="Times New Roman"/>
          <w:sz w:val="24"/>
          <w:szCs w:val="24"/>
        </w:rPr>
        <w:t>Българската</w:t>
      </w:r>
      <w:r w:rsidRPr="00321A4C">
        <w:rPr>
          <w:rFonts w:ascii="Times New Roman" w:hAnsi="Times New Roman" w:cs="Times New Roman"/>
          <w:color w:val="000000"/>
          <w:sz w:val="24"/>
          <w:szCs w:val="24"/>
        </w:rPr>
        <w:t xml:space="preserve"> електропреносна мрежа е част от обединената преносна мрежа на страните от континентална Европа и развитието ѝ е тясно свързано с развитието на мрежите на съседните страни. </w:t>
      </w:r>
    </w:p>
    <w:p w14:paraId="35AA3009"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контекста на европейските цели за изграждане на взаимосвързан и единен общоевропейски газов пазар, развитието на инфраструктурата в Р. България е пряко обвързано с позиционирането на страната като един от газоразпределителните центрове в Източна Европа, в синхрон с проектите за развитие на Южния газов коридор и в унисон с плановете за развитие на газовата инфраструктура в региона и Европа. Важно място в европейската енергийна политика заемат и стратегическите цели за подобряване сигурността на доставките и диверсификацията на източниците на доставка на природен газ. </w:t>
      </w:r>
    </w:p>
    <w:p w14:paraId="5D019732"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За постигането на тези цели се предвиждат редица мерки за ефективното изпълнение на основни проекти за развитие на електропреносната и газопреносната инфраструктури. </w:t>
      </w:r>
    </w:p>
    <w:p w14:paraId="21122F69" w14:textId="77777777" w:rsidR="000D0628" w:rsidRPr="000D0628" w:rsidRDefault="000D0628" w:rsidP="00321A4C">
      <w:pPr>
        <w:autoSpaceDE w:val="0"/>
        <w:autoSpaceDN w:val="0"/>
        <w:adjustRightInd w:val="0"/>
        <w:spacing w:after="0" w:line="276" w:lineRule="auto"/>
        <w:ind w:firstLine="709"/>
        <w:jc w:val="both"/>
        <w:rPr>
          <w:rFonts w:ascii="Times New Roman" w:hAnsi="Times New Roman" w:cs="Times New Roman"/>
          <w:i/>
          <w:iCs/>
          <w:sz w:val="24"/>
          <w:szCs w:val="24"/>
        </w:rPr>
      </w:pPr>
    </w:p>
    <w:p w14:paraId="51B1853E" w14:textId="77777777" w:rsidR="00741F81" w:rsidRPr="000D0628"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0D0628">
        <w:rPr>
          <w:rFonts w:ascii="Times New Roman" w:hAnsi="Times New Roman" w:cs="Times New Roman"/>
          <w:i/>
          <w:iCs/>
          <w:sz w:val="24"/>
          <w:szCs w:val="24"/>
        </w:rPr>
        <w:t>ii. Регионално сътрудничество в тази област</w:t>
      </w:r>
    </w:p>
    <w:p w14:paraId="22517AE9" w14:textId="77777777" w:rsidR="00465BED" w:rsidRPr="00465BED" w:rsidRDefault="00465BED"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465BED">
        <w:rPr>
          <w:rFonts w:ascii="Times New Roman" w:hAnsi="Times New Roman" w:cs="Times New Roman"/>
          <w:color w:val="000000"/>
          <w:sz w:val="24"/>
          <w:szCs w:val="24"/>
        </w:rPr>
        <w:t>Регионални групи, различни от ПОИ, създадени по силата на Регламент (ЕС) №</w:t>
      </w:r>
      <w:r>
        <w:rPr>
          <w:rFonts w:ascii="Times New Roman" w:hAnsi="Times New Roman" w:cs="Times New Roman"/>
          <w:color w:val="000000"/>
          <w:sz w:val="24"/>
          <w:szCs w:val="24"/>
        </w:rPr>
        <w:t xml:space="preserve"> 347/2013</w:t>
      </w:r>
    </w:p>
    <w:p w14:paraId="2AE4F8E3" w14:textId="77777777" w:rsidR="00465BED" w:rsidRPr="000D0628" w:rsidRDefault="00465BED"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2D2CF7CE" w14:textId="77777777" w:rsidR="00741F81" w:rsidRPr="000D0628"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0D0628">
        <w:rPr>
          <w:rFonts w:ascii="Times New Roman" w:hAnsi="Times New Roman" w:cs="Times New Roman"/>
          <w:i/>
          <w:iCs/>
          <w:sz w:val="24"/>
          <w:szCs w:val="24"/>
        </w:rPr>
        <w:t xml:space="preserve">iii. Когато е приложимо, финансови мерки в тази област на национално равнище, включително подкрепа от Съюза и използване на средства от фондовете на Съюза </w:t>
      </w:r>
    </w:p>
    <w:p w14:paraId="312B5D6C"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За следващата Многогодишна финансова рамка 2021-2027 г. България възнамерява да се възползва от структурните фондове за финансиране на инвестиционни нужди за декарбонизация на енергийния сектор, осигурявайки адаптиране към климата и справедлив преход. Според Анекс Г към Доклада за страната за България (Bulgaria Country Report) са определени приоритетни инвестиционни нужди с цел насърчаване на мерки за енергийна ефективност, подобряване на ефективността на ресурсите и управлението на отпадъците и насърчаване на прехода към кръгова икономика. </w:t>
      </w:r>
    </w:p>
    <w:p w14:paraId="67ABCBED" w14:textId="77777777" w:rsidR="000D0628" w:rsidRPr="000D0628" w:rsidRDefault="000D0628" w:rsidP="00321A4C">
      <w:pPr>
        <w:autoSpaceDE w:val="0"/>
        <w:autoSpaceDN w:val="0"/>
        <w:adjustRightInd w:val="0"/>
        <w:spacing w:after="0" w:line="276" w:lineRule="auto"/>
        <w:ind w:firstLine="709"/>
        <w:jc w:val="both"/>
        <w:rPr>
          <w:rFonts w:ascii="Times New Roman" w:hAnsi="Times New Roman" w:cs="Times New Roman"/>
          <w:b/>
          <w:sz w:val="24"/>
          <w:szCs w:val="24"/>
        </w:rPr>
      </w:pPr>
    </w:p>
    <w:p w14:paraId="44BB3F2E" w14:textId="77777777" w:rsidR="00741F81" w:rsidRPr="000D0628" w:rsidRDefault="00741F81" w:rsidP="00321A4C">
      <w:pPr>
        <w:autoSpaceDE w:val="0"/>
        <w:autoSpaceDN w:val="0"/>
        <w:adjustRightInd w:val="0"/>
        <w:spacing w:after="0" w:line="276" w:lineRule="auto"/>
        <w:ind w:firstLine="709"/>
        <w:jc w:val="both"/>
        <w:rPr>
          <w:rFonts w:ascii="Times New Roman" w:hAnsi="Times New Roman" w:cs="Times New Roman"/>
          <w:b/>
          <w:sz w:val="24"/>
          <w:szCs w:val="24"/>
        </w:rPr>
      </w:pPr>
      <w:r w:rsidRPr="000D0628">
        <w:rPr>
          <w:rFonts w:ascii="Times New Roman" w:hAnsi="Times New Roman" w:cs="Times New Roman"/>
          <w:b/>
          <w:sz w:val="24"/>
          <w:szCs w:val="24"/>
        </w:rPr>
        <w:lastRenderedPageBreak/>
        <w:t xml:space="preserve">Интеграция на пазара </w:t>
      </w:r>
    </w:p>
    <w:p w14:paraId="5E7399C2" w14:textId="0AE77A4D" w:rsidR="00741F81" w:rsidRPr="000D0628" w:rsidRDefault="00741F81" w:rsidP="00321A4C">
      <w:pPr>
        <w:autoSpaceDE w:val="0"/>
        <w:autoSpaceDN w:val="0"/>
        <w:adjustRightInd w:val="0"/>
        <w:spacing w:after="0" w:line="276" w:lineRule="auto"/>
        <w:ind w:firstLine="709"/>
        <w:jc w:val="both"/>
        <w:rPr>
          <w:rFonts w:ascii="Times New Roman" w:hAnsi="Times New Roman" w:cs="Times New Roman"/>
          <w:sz w:val="24"/>
          <w:szCs w:val="24"/>
        </w:rPr>
      </w:pPr>
      <w:r w:rsidRPr="000D0628">
        <w:rPr>
          <w:rFonts w:ascii="Times New Roman" w:hAnsi="Times New Roman" w:cs="Times New Roman"/>
          <w:i/>
          <w:iCs/>
          <w:sz w:val="24"/>
          <w:szCs w:val="24"/>
        </w:rPr>
        <w:t xml:space="preserve">i. Политики и мерки, свързани с елементите, </w:t>
      </w:r>
      <w:r w:rsidRPr="00564CF7">
        <w:rPr>
          <w:rFonts w:ascii="Times New Roman" w:hAnsi="Times New Roman" w:cs="Times New Roman"/>
          <w:i/>
          <w:iCs/>
          <w:sz w:val="24"/>
          <w:szCs w:val="24"/>
        </w:rPr>
        <w:t>посочени в точка 2.4.3</w:t>
      </w:r>
      <w:r w:rsidR="00564CF7" w:rsidRPr="00564CF7">
        <w:rPr>
          <w:rFonts w:ascii="Times New Roman" w:hAnsi="Times New Roman" w:cs="Times New Roman"/>
          <w:i/>
          <w:iCs/>
          <w:sz w:val="24"/>
          <w:szCs w:val="24"/>
        </w:rPr>
        <w:t>.</w:t>
      </w:r>
      <w:r w:rsidR="00564CF7">
        <w:rPr>
          <w:rFonts w:ascii="Times New Roman" w:hAnsi="Times New Roman" w:cs="Times New Roman"/>
          <w:i/>
          <w:iCs/>
          <w:sz w:val="24"/>
          <w:szCs w:val="24"/>
        </w:rPr>
        <w:t xml:space="preserve"> Интеграция на пазара</w:t>
      </w:r>
      <w:r w:rsidR="00F96654">
        <w:rPr>
          <w:rFonts w:ascii="Times New Roman" w:hAnsi="Times New Roman" w:cs="Times New Roman"/>
          <w:i/>
          <w:iCs/>
          <w:sz w:val="24"/>
          <w:szCs w:val="24"/>
        </w:rPr>
        <w:t xml:space="preserve"> на </w:t>
      </w:r>
      <w:r w:rsidR="005B5EB3">
        <w:rPr>
          <w:rFonts w:ascii="Times New Roman" w:hAnsi="Times New Roman" w:cs="Times New Roman"/>
          <w:i/>
          <w:iCs/>
          <w:sz w:val="24"/>
          <w:szCs w:val="24"/>
        </w:rPr>
        <w:t>ИПЕК</w:t>
      </w:r>
      <w:r w:rsidR="00564CF7">
        <w:rPr>
          <w:rFonts w:ascii="Times New Roman" w:hAnsi="Times New Roman" w:cs="Times New Roman"/>
          <w:i/>
          <w:iCs/>
          <w:sz w:val="24"/>
          <w:szCs w:val="24"/>
        </w:rPr>
        <w:t>.</w:t>
      </w:r>
    </w:p>
    <w:p w14:paraId="13DE7D59"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За изпълнение на разпоредбите на Директива 2019/943 относно пазара на електрическа енергия са извършени законодателни промени в ЗЕ и подзаконовата нормативна уредба към него. С тези промени се регламентира и процеса на пълна либерализация на електроенергийния пазар. Този процес започва от 01.07. 2024 г. Планира се прогресивно дерегулиране на цените за битовите потребители, като процесът на либерализация да отнеме от 2 години. </w:t>
      </w:r>
    </w:p>
    <w:p w14:paraId="597B78F3"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Политиките и мерките ще бъдат насочени към: </w:t>
      </w:r>
    </w:p>
    <w:p w14:paraId="70DBF644"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Насърчаване на местните енергийни общности, за да се стимулират потребителите на енергия да участват по-активно и ефективно на пазара и да се даде възможност за лесен преход на активните клиенти към отворения и напълно либерализиран пазар на електрическа енергия; </w:t>
      </w:r>
    </w:p>
    <w:p w14:paraId="41836F70"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Предоставяне на право за сключване на договор с динамична цена на електрическата енергия и договор за агрегиране за оптимизиране на потреблението, за да се насърчат потребителите на енергия да участват по-активно и ефективно на пазара, както и да се даде възможност за лесен преход на активните клиенти към отворения и напълно либерализиран пазар на електроенергия; </w:t>
      </w:r>
    </w:p>
    <w:p w14:paraId="6A56E258"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Създаване на платформа за инструменти за сравняване на офертите на доставчиците, което да е в подкрепа на активното участие на потребителите на пазара, избора на договори за агрегиране на услуги и прозрачност на отношенията в гражданските енергийни общности. </w:t>
      </w:r>
    </w:p>
    <w:p w14:paraId="22362ED3"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Присъединяване към инициатива за ръчно активиране на резерв за обединяване (MARI) на българския пазар на електрическа енергия; </w:t>
      </w:r>
    </w:p>
    <w:p w14:paraId="13AF1ADD"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Присъединяване към инициативата за международна координация за автоматизирано възстановяване на честотата и стабилна работа на системата (PICASSO) за свързване на балансиращия пазар; </w:t>
      </w:r>
    </w:p>
    <w:p w14:paraId="3FA64B54"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Координирано управление на небалансите (IGCC) - Електропреносният оператор е пълноправен член на тази платформа и предприема действия за активно участие в нея; </w:t>
      </w:r>
    </w:p>
    <w:p w14:paraId="69A4B473"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6EAB7EEF"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С цел интеграция на пазара на електрическа енергия към общия европейски енергиен пазар са осъществени обединения на борсовия пазар в страната с борсовите пазари на съседни страни члеки на ЕС. </w:t>
      </w:r>
    </w:p>
    <w:p w14:paraId="44318AE3"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i/>
          <w:iCs/>
          <w:color w:val="000000"/>
          <w:sz w:val="24"/>
          <w:szCs w:val="24"/>
        </w:rPr>
        <w:t xml:space="preserve">Пазар „Ден напред“ </w:t>
      </w:r>
    </w:p>
    <w:p w14:paraId="3BAA0E3E" w14:textId="77777777" w:rsidR="00741F81" w:rsidRPr="00321A4C" w:rsidRDefault="00741F81" w:rsidP="00BA0DDB">
      <w:pPr>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Интеграция на електроенергийния пазар и пазарни обединения България – Румъния</w:t>
      </w:r>
      <w:r w:rsidR="00BA0DDB">
        <w:rPr>
          <w:rFonts w:ascii="Times New Roman" w:hAnsi="Times New Roman" w:cs="Times New Roman"/>
          <w:color w:val="000000"/>
          <w:sz w:val="24"/>
          <w:szCs w:val="24"/>
        </w:rPr>
        <w:t xml:space="preserve"> </w:t>
      </w:r>
      <w:r w:rsidRPr="00321A4C">
        <w:rPr>
          <w:rFonts w:ascii="Times New Roman" w:hAnsi="Times New Roman" w:cs="Times New Roman"/>
          <w:color w:val="000000"/>
          <w:sz w:val="24"/>
          <w:szCs w:val="24"/>
        </w:rPr>
        <w:t xml:space="preserve">Пазар „Ден напред“ - Обединение на пазарите между България и Румъния във времеви сегмент „Ден напред“, чрез присъединяване към Единния европейски пазар „Ден напред“ SDAC. </w:t>
      </w:r>
    </w:p>
    <w:p w14:paraId="05F129F5"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lastRenderedPageBreak/>
        <w:t xml:space="preserve">България беше член на пазарното обединение MRC (SDAC) в режим на изолация като технически бе готова да стартира проект за интеграция на пазар „Ден напред“ с Румъния, но по технически причини това нямаше как да стане докато Румъния е част от регионалното пазарно обединение 4М MC. Пазарното обединение с Румъния стана възможно след успешната реализация на т.нар. Междинен проект за обединението на MRC с 4M MC. Проектът за интеграция бе успешно завършен на 27.10.2021 г. </w:t>
      </w:r>
    </w:p>
    <w:p w14:paraId="0FE34FC8"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Интеграция на електроенергийния пазар и пазарни обединения България – Гърция</w:t>
      </w:r>
      <w:r w:rsidR="00110800">
        <w:rPr>
          <w:rFonts w:ascii="Times New Roman" w:hAnsi="Times New Roman" w:cs="Times New Roman"/>
          <w:color w:val="000000"/>
          <w:sz w:val="24"/>
          <w:szCs w:val="24"/>
        </w:rPr>
        <w:t>.</w:t>
      </w:r>
      <w:r w:rsidRPr="00321A4C">
        <w:rPr>
          <w:rFonts w:ascii="Times New Roman" w:hAnsi="Times New Roman" w:cs="Times New Roman"/>
          <w:color w:val="000000"/>
          <w:sz w:val="24"/>
          <w:szCs w:val="24"/>
        </w:rPr>
        <w:t xml:space="preserve"> </w:t>
      </w:r>
    </w:p>
    <w:p w14:paraId="1E7872D7"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Пазар „Ден напред - Обединение на пазарите между България и Гърция във времеви сегмент „Ден напред“, чрез присъединяване към Единния европейски пазар „Ден напред“ SDAC. </w:t>
      </w:r>
    </w:p>
    <w:p w14:paraId="0DDA6B04"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България е част от регионалния проект IBWT, който цели присъединяване на италианските граници и границата между България и Гърция към SDAC. Предпоставка за стартирането на пазарна интеграция бе стартирането на местен пазар в Гърция. Проектът за интеграция бе успешно завършен на 11.05.2021 г. </w:t>
      </w:r>
    </w:p>
    <w:p w14:paraId="0F4821D1" w14:textId="77777777" w:rsidR="00741F81" w:rsidRPr="00BA0DDB" w:rsidRDefault="00741F81" w:rsidP="004F15F5">
      <w:pPr>
        <w:pStyle w:val="ListParagraph"/>
        <w:numPr>
          <w:ilvl w:val="0"/>
          <w:numId w:val="58"/>
        </w:numPr>
        <w:autoSpaceDE w:val="0"/>
        <w:autoSpaceDN w:val="0"/>
        <w:adjustRightInd w:val="0"/>
        <w:spacing w:after="0" w:line="276" w:lineRule="auto"/>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t xml:space="preserve">Обединение на пазарите между България и Северна Македония във времеви сегмент „Ден напред“, чрез присъединяване към Единния европейски пазар „Ден напред“ SDAC - България и Северна Македония стартираха локален проект за пазарна интеграция във времеви сегмент „Ден напред“. Предпоставки за стартирането на този проект в реална работа е стартирането на оперативен местен пазар „Ден напред“, което се очаква да се случи през 2024 г., и въвеждането на пакет от европейски регламенти в Северна Македония. </w:t>
      </w:r>
    </w:p>
    <w:p w14:paraId="5D460C97"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Проектът за интеграция е замразен до стартирането на местен пазар и въвеждането на необходимото европейско законодателство в Северна Македония. </w:t>
      </w:r>
    </w:p>
    <w:p w14:paraId="635DE980"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Очакван старт в реална работа – 2024 г. </w:t>
      </w:r>
    </w:p>
    <w:p w14:paraId="24D3BBE1" w14:textId="77777777" w:rsidR="00741F81" w:rsidRPr="00BA0DDB" w:rsidRDefault="00741F81" w:rsidP="004F15F5">
      <w:pPr>
        <w:pStyle w:val="Default"/>
        <w:numPr>
          <w:ilvl w:val="0"/>
          <w:numId w:val="58"/>
        </w:numPr>
        <w:spacing w:line="276" w:lineRule="auto"/>
        <w:jc w:val="both"/>
      </w:pPr>
      <w:r w:rsidRPr="00321A4C">
        <w:t xml:space="preserve">Обединение на пазарите между България и Сърбия във времеви сегмент „Ден напред“, чрез присъединяване към Единния европейски пазар „Ден напред“ SDAC - През 2018 г. стартираха преговори за тристранно обединение между България, Сърбия и Хърватия. През 2019 г. страните разработиха Анализ на предпоставките и осъществимостта на проекта. Дейностите по проекта продължават, като част от необходимите последващи стъпки са свързани със законодателни промени в нормативната уредба на Сърбия, които да гарантират организация на пазара в съответствие с Регламент 2015/1222. През м. юни 2022 правителството на Република Сърбия официално определи SEEPEX като сръбски номиниран оператор на пазара на електроенергия (NEMO). Сърбия вече има функциониращ локален пазар ден напред. Предпоставка за успешното реализиране на проекта е имплементирането на законодателна </w:t>
      </w:r>
      <w:r w:rsidRPr="00BA0DDB">
        <w:t xml:space="preserve">рамка, реципрочна на европейската съобразно приетата адаптирана такава през декември 2022 г. </w:t>
      </w:r>
    </w:p>
    <w:p w14:paraId="69DB5B30"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За ефективното функциониране на единен вътрешен пазар в Европа е необходимо организацията и функционирането на пазарите „Ден напред“ и „В рамките на деня“ на ДЧ </w:t>
      </w:r>
      <w:r w:rsidRPr="00321A4C">
        <w:rPr>
          <w:rFonts w:ascii="Times New Roman" w:hAnsi="Times New Roman" w:cs="Times New Roman"/>
          <w:color w:val="000000"/>
          <w:sz w:val="24"/>
          <w:szCs w:val="24"/>
        </w:rPr>
        <w:lastRenderedPageBreak/>
        <w:t xml:space="preserve">и държавите част от Енергийната общност да се осъществява при еднакви правила и организация на пазара. България, която граничи и с държави, които не са членки на ЕС, е заинтересована от създаването на общи правила, които да допринесат за ефективното обединение на пазарите. </w:t>
      </w:r>
    </w:p>
    <w:p w14:paraId="1F461FF9"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i/>
          <w:iCs/>
          <w:color w:val="000000"/>
          <w:sz w:val="24"/>
          <w:szCs w:val="24"/>
        </w:rPr>
        <w:t xml:space="preserve">Пазар „В рамките на деня“ </w:t>
      </w:r>
    </w:p>
    <w:p w14:paraId="60455DA2"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Към настоящия момент, в Европа съществува един проект за пазарно обединение „В рамките на деня“ – XBID. </w:t>
      </w:r>
    </w:p>
    <w:p w14:paraId="6026094F"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Пазарно обединение на пазарите „В рамките на деня“ се осъществява посредством локални проекти (Local implementation project - LIP). </w:t>
      </w:r>
    </w:p>
    <w:p w14:paraId="2E400666"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Електропреносният оператор и пазарният оператор участваха в локалния проект LIP 15, който беше част от втората вълна на обединение на пазарите „В рамките на деня“, която обхващаше два локални проекта LIP 15 и LIP 16. В нея участваха борсовите оператори и операторите на преносни системи на България, Румъния, Унгария, Хърватска, Словения, Чехия, Полша, Австрия, Германия. </w:t>
      </w:r>
    </w:p>
    <w:p w14:paraId="694243B4"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След стартиране на втората вълна на 19.11.2019 г., България вече е част от Единния пазар „В рамките на деня“ (SIDC – Single Intraday Coupling) посредством българо-румънска граница. </w:t>
      </w:r>
    </w:p>
    <w:p w14:paraId="2E2C49A0"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България е част от регионалния проект LIP 14, който цели присъединяване на италианските граници и границата между България и Гърция към SIDC, като част от третата вълна на присъединение към SIDC. Проектът за интеграция бе успешно завършен на 29.11.2022 г. </w:t>
      </w:r>
    </w:p>
    <w:p w14:paraId="741154EA"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i/>
          <w:iCs/>
          <w:color w:val="000000"/>
          <w:sz w:val="24"/>
          <w:szCs w:val="24"/>
        </w:rPr>
        <w:t xml:space="preserve">Оптимизация на потреблението </w:t>
      </w:r>
    </w:p>
    <w:p w14:paraId="57F39463" w14:textId="77777777" w:rsidR="00741F81" w:rsidRPr="00321A4C" w:rsidRDefault="00741F81"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България създаде с промените на Закона за енергетика от 17.11.2023 г. подходящи условия, за създаването на активни потребители, възможности за обединения посредством агрегатори или енергийни общности, както и активното им участие като оптимизацията на потреблението на различните пазарни сегменти.</w:t>
      </w:r>
    </w:p>
    <w:p w14:paraId="36906BB6" w14:textId="77777777" w:rsidR="00BA0DDB" w:rsidRPr="00BA0DDB" w:rsidRDefault="00BA0DDB" w:rsidP="00321A4C">
      <w:pPr>
        <w:autoSpaceDE w:val="0"/>
        <w:autoSpaceDN w:val="0"/>
        <w:adjustRightInd w:val="0"/>
        <w:spacing w:after="0" w:line="276" w:lineRule="auto"/>
        <w:ind w:firstLine="709"/>
        <w:jc w:val="both"/>
        <w:rPr>
          <w:rFonts w:ascii="Times New Roman" w:hAnsi="Times New Roman" w:cs="Times New Roman"/>
          <w:i/>
          <w:iCs/>
          <w:sz w:val="24"/>
          <w:szCs w:val="24"/>
        </w:rPr>
      </w:pPr>
    </w:p>
    <w:p w14:paraId="5D810579" w14:textId="77777777" w:rsidR="00E045A5" w:rsidRPr="00BA0DDB" w:rsidRDefault="00E045A5" w:rsidP="00321A4C">
      <w:pPr>
        <w:autoSpaceDE w:val="0"/>
        <w:autoSpaceDN w:val="0"/>
        <w:adjustRightInd w:val="0"/>
        <w:spacing w:after="0" w:line="276" w:lineRule="auto"/>
        <w:ind w:firstLine="709"/>
        <w:jc w:val="both"/>
        <w:rPr>
          <w:rFonts w:ascii="Times New Roman" w:hAnsi="Times New Roman" w:cs="Times New Roman"/>
          <w:sz w:val="24"/>
          <w:szCs w:val="24"/>
        </w:rPr>
      </w:pPr>
      <w:r w:rsidRPr="00BA0DDB">
        <w:rPr>
          <w:rFonts w:ascii="Times New Roman" w:hAnsi="Times New Roman" w:cs="Times New Roman"/>
          <w:i/>
          <w:iCs/>
          <w:sz w:val="24"/>
          <w:szCs w:val="24"/>
        </w:rPr>
        <w:t xml:space="preserve">ii. Мерки за повишаване на гъвкавостта на енергийната система по отношение на производството на възобновяема енергия, като интелигентни мрежи, групиране, оптимизация на потреблението, съхранение, разпределено производство, механизми за разпределение, преразпределение и съкращаване, ценови сигнали в реално време, включително въвеждането на свързване на пазарите в рамките на деня и трансграничните балансиращи пазар </w:t>
      </w:r>
    </w:p>
    <w:p w14:paraId="39BBE36D" w14:textId="77777777" w:rsidR="00E045A5" w:rsidRDefault="00E045A5" w:rsidP="004F15F5">
      <w:pPr>
        <w:pStyle w:val="ListParagraph"/>
        <w:numPr>
          <w:ilvl w:val="0"/>
          <w:numId w:val="58"/>
        </w:numPr>
        <w:autoSpaceDE w:val="0"/>
        <w:autoSpaceDN w:val="0"/>
        <w:adjustRightInd w:val="0"/>
        <w:spacing w:after="0" w:line="276" w:lineRule="auto"/>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t xml:space="preserve">Въвеждане на интелигентни измервателни средства, с цел насърчаване на потребителите на електрическа енергия да участват по-активно и ефективно на пазара; </w:t>
      </w:r>
    </w:p>
    <w:p w14:paraId="781098B9" w14:textId="77777777" w:rsidR="00E045A5" w:rsidRPr="00BA0DDB" w:rsidRDefault="00E045A5" w:rsidP="004F15F5">
      <w:pPr>
        <w:pStyle w:val="ListParagraph"/>
        <w:numPr>
          <w:ilvl w:val="0"/>
          <w:numId w:val="58"/>
        </w:numPr>
        <w:autoSpaceDE w:val="0"/>
        <w:autoSpaceDN w:val="0"/>
        <w:adjustRightInd w:val="0"/>
        <w:spacing w:after="0" w:line="276" w:lineRule="auto"/>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t xml:space="preserve">Стремеж към модернизиране на енергийния сектор в страната и в съответствие с чл. 10в от Директива (ЕС) 2018/410 с цел засилване на разходоефективните намаления на емисиите и нисковъглеродните инвестиции и Решение (ЕС) 2015/1814, България също ще се възползва от възможността за безплатно </w:t>
      </w:r>
      <w:r w:rsidRPr="00BA0DDB">
        <w:rPr>
          <w:rFonts w:ascii="Times New Roman" w:hAnsi="Times New Roman" w:cs="Times New Roman"/>
          <w:color w:val="000000"/>
          <w:sz w:val="24"/>
          <w:szCs w:val="24"/>
        </w:rPr>
        <w:lastRenderedPageBreak/>
        <w:t xml:space="preserve">разпределение на квоти за емисиите на парникови газове на инсталации за производство на електроенергия през четвъртата фаза на СТЕ на ЕС за преходния период от 2021 г. до 2030 г. За тази цел се предвижда прилагането на Националната рамка за инвестиции в периода 2021-2030 г., която дава възможност на операторите да получават безплатни квоти за емисии срещу техните инвестиции в модернизацията на енергийния сектор. </w:t>
      </w:r>
    </w:p>
    <w:p w14:paraId="2FBFE007" w14:textId="77777777" w:rsidR="00E045A5" w:rsidRPr="00321A4C" w:rsidRDefault="00E045A5" w:rsidP="00BA0DDB">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6F0238E4"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През разглеждания период България предвижда да се въведат междинни мерки, които да позволят извършването на следните реформи: </w:t>
      </w:r>
    </w:p>
    <w:p w14:paraId="434D868D" w14:textId="77777777" w:rsidR="00E045A5" w:rsidRPr="00321A4C" w:rsidRDefault="00E045A5" w:rsidP="004F15F5">
      <w:pPr>
        <w:pStyle w:val="ListParagraph"/>
        <w:numPr>
          <w:ilvl w:val="0"/>
          <w:numId w:val="58"/>
        </w:numPr>
        <w:autoSpaceDE w:val="0"/>
        <w:autoSpaceDN w:val="0"/>
        <w:adjustRightInd w:val="0"/>
        <w:spacing w:after="0" w:line="276" w:lineRule="auto"/>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Въвеждане на ценови граници на балансиращия пазар, които да позволяват да се дават коректни ценови сигнали към инвеститорите. Максимална и минимална цена съобразени с времевите интервали за ден напред и в рамките на деня и в съответствие с разпоредбите на Регламента за балансиране; </w:t>
      </w:r>
    </w:p>
    <w:p w14:paraId="102FB5A7" w14:textId="77777777" w:rsidR="00E045A5" w:rsidRPr="00321A4C" w:rsidRDefault="00E045A5" w:rsidP="004F15F5">
      <w:pPr>
        <w:pStyle w:val="ListParagraph"/>
        <w:numPr>
          <w:ilvl w:val="0"/>
          <w:numId w:val="58"/>
        </w:numPr>
        <w:autoSpaceDE w:val="0"/>
        <w:autoSpaceDN w:val="0"/>
        <w:adjustRightInd w:val="0"/>
        <w:spacing w:after="0" w:line="276" w:lineRule="auto"/>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Създаване на подходящи условия и засилване участието на оптимизацията на потреблението, представено индивидуално или чрез агрегатори, на пазара на едро на електроенергия, както и на балансиращия пазар; </w:t>
      </w:r>
    </w:p>
    <w:p w14:paraId="115886C3" w14:textId="77777777" w:rsidR="00E045A5" w:rsidRPr="00321A4C" w:rsidRDefault="00E045A5" w:rsidP="004F15F5">
      <w:pPr>
        <w:pStyle w:val="ListParagraph"/>
        <w:numPr>
          <w:ilvl w:val="0"/>
          <w:numId w:val="58"/>
        </w:numPr>
        <w:autoSpaceDE w:val="0"/>
        <w:autoSpaceDN w:val="0"/>
        <w:adjustRightInd w:val="0"/>
        <w:spacing w:after="0" w:line="276" w:lineRule="auto"/>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Надграждане на преносната мрежа с цел облекчаване на вътрешните претоварвания. Увеличаване на междусистемния капацитет. </w:t>
      </w:r>
    </w:p>
    <w:p w14:paraId="0C369812"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2574AAFB" w14:textId="77777777" w:rsidR="00741F81" w:rsidRDefault="00E045A5" w:rsidP="00321A4C">
      <w:pPr>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Реализацията на проект „Яденица” за увеличаване на обема на долния изравнител на ПАВЕЦ „Чаира” чрез изграждане на язовир „Яденица” и реверсивен напорен тунел за връзка с язовир „Чаира” осигурява балансираща мощност в електроенергийната система на страната и ще позволи по-нататъшно развитие на електропроизводството от възобновяеми енергийни източници в съответствие с дългосрочните стратегии за развитие на енергетиката в България и Европейския съюз. Разработват се проекти за изграждането на нови два ПАВЕЦ-а.</w:t>
      </w:r>
    </w:p>
    <w:p w14:paraId="07D01AC1" w14:textId="77777777" w:rsidR="00BA0DDB" w:rsidRPr="00BA0DDB" w:rsidRDefault="00BA0DDB" w:rsidP="00321A4C">
      <w:pPr>
        <w:spacing w:after="0" w:line="276" w:lineRule="auto"/>
        <w:ind w:firstLine="709"/>
        <w:jc w:val="both"/>
        <w:rPr>
          <w:rFonts w:ascii="Times New Roman" w:hAnsi="Times New Roman" w:cs="Times New Roman"/>
          <w:sz w:val="24"/>
          <w:szCs w:val="24"/>
          <w:lang w:val="en-US"/>
        </w:rPr>
      </w:pPr>
    </w:p>
    <w:p w14:paraId="559F2119" w14:textId="77777777" w:rsidR="00E045A5" w:rsidRPr="00BA0DDB" w:rsidRDefault="00E045A5" w:rsidP="00321A4C">
      <w:pPr>
        <w:autoSpaceDE w:val="0"/>
        <w:autoSpaceDN w:val="0"/>
        <w:adjustRightInd w:val="0"/>
        <w:spacing w:after="0" w:line="276" w:lineRule="auto"/>
        <w:ind w:firstLine="709"/>
        <w:jc w:val="both"/>
        <w:rPr>
          <w:rFonts w:ascii="Times New Roman" w:hAnsi="Times New Roman" w:cs="Times New Roman"/>
          <w:sz w:val="24"/>
          <w:szCs w:val="24"/>
        </w:rPr>
      </w:pPr>
      <w:r w:rsidRPr="00BA0DDB">
        <w:rPr>
          <w:rFonts w:ascii="Times New Roman" w:hAnsi="Times New Roman" w:cs="Times New Roman"/>
          <w:i/>
          <w:iCs/>
          <w:sz w:val="24"/>
          <w:szCs w:val="24"/>
        </w:rPr>
        <w:t xml:space="preserve">iii. Когато е приложимо, национални мерки за гарантиране на недискриминационното участие на възобновяемата енергия, оптимизацията на потреблението и съхранението, включително чрез групиране, във всички енергийни пазари </w:t>
      </w:r>
    </w:p>
    <w:p w14:paraId="54C5A4C2"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Разработване на регулаторна рамка, която да гарантира, че потребителите имат право да потребяват електрическата енергия от собствено производство от възобновяеми източници. Рамката следва да гарантира, че потребителите на тази електрическа енергия, поотделно или чрез доставчици на агрегирани услуги, имат право да произвеждат енергия от възобновяеми източници, включително за собствено потребление, да натрупват и продават своя излишък от тази електроенергия от възобновяеми източници, включително чрез споразумения за закупуване на електрическа енергия от възобновяеми източници, доставчици на електроенергия и търговски споразумения между партньори, без да се </w:t>
      </w:r>
      <w:r w:rsidRPr="00321A4C">
        <w:rPr>
          <w:rFonts w:ascii="Times New Roman" w:hAnsi="Times New Roman" w:cs="Times New Roman"/>
          <w:color w:val="000000"/>
          <w:sz w:val="24"/>
          <w:szCs w:val="24"/>
        </w:rPr>
        <w:lastRenderedPageBreak/>
        <w:t xml:space="preserve">подлагат на каквато и да е преценка на предстоящи или непропорционални процедури и такси. </w:t>
      </w:r>
    </w:p>
    <w:p w14:paraId="3D4E76CD" w14:textId="77777777" w:rsidR="00BA0DDB" w:rsidRPr="00BA0DDB" w:rsidRDefault="00BA0DDB" w:rsidP="00321A4C">
      <w:pPr>
        <w:autoSpaceDE w:val="0"/>
        <w:autoSpaceDN w:val="0"/>
        <w:adjustRightInd w:val="0"/>
        <w:spacing w:after="0" w:line="276" w:lineRule="auto"/>
        <w:ind w:firstLine="709"/>
        <w:jc w:val="both"/>
        <w:rPr>
          <w:rFonts w:ascii="Times New Roman" w:hAnsi="Times New Roman" w:cs="Times New Roman"/>
          <w:i/>
          <w:iCs/>
          <w:sz w:val="24"/>
          <w:szCs w:val="24"/>
        </w:rPr>
      </w:pPr>
    </w:p>
    <w:p w14:paraId="06306587" w14:textId="77777777" w:rsidR="00E045A5" w:rsidRPr="00BA0DDB" w:rsidRDefault="00E045A5" w:rsidP="00321A4C">
      <w:pPr>
        <w:autoSpaceDE w:val="0"/>
        <w:autoSpaceDN w:val="0"/>
        <w:adjustRightInd w:val="0"/>
        <w:spacing w:after="0" w:line="276" w:lineRule="auto"/>
        <w:ind w:firstLine="709"/>
        <w:jc w:val="both"/>
        <w:rPr>
          <w:rFonts w:ascii="Times New Roman" w:hAnsi="Times New Roman" w:cs="Times New Roman"/>
          <w:sz w:val="24"/>
          <w:szCs w:val="24"/>
        </w:rPr>
      </w:pPr>
      <w:r w:rsidRPr="00BA0DDB">
        <w:rPr>
          <w:rFonts w:ascii="Times New Roman" w:hAnsi="Times New Roman" w:cs="Times New Roman"/>
          <w:i/>
          <w:iCs/>
          <w:sz w:val="24"/>
          <w:szCs w:val="24"/>
        </w:rPr>
        <w:t xml:space="preserve">iv. Политики и мерки за защита на потребителите, по-специално уязвимите и когато е приложимо, потребителите в положение на енергийна бедност и за подобряване на конкурентоспособността и достъпността на пазара на дребно на електроенергия </w:t>
      </w:r>
    </w:p>
    <w:p w14:paraId="09B3915C"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Терминът „енергийната бедност“ се появи през последните години като производен ефект в започналата глобална климатична трансформация, която налага изпълнение на конкретни ангажименти от държавите-членки на ЕС за постигане на цели за намаляване на нетните емисии на парникови газове с най-малко 55% до 2030 г. в сравнение с равнищата от 1990 година. Това наложи и спешното транспониране на чл. 28 Уязвими клиенти и чл. 29 Енергийна бедност на Директива (ЕС) 2019/944 на Европейския парламент и на Съвета от 5 юни 2019 година относно общите правила за вътрешния пазар на електроенергия и за изменение на Директива 2012/27/ЕС. Посочените текстове на Директивата очертават основната рамка на задълженията на ниво ЕС за защита на уязвимите клиенти и на домакинствата в положение на енергийна бедност, като същевременно приемането и прилагането на подходящи мерки е ангажимент на отделните държави-членки, съобразно националната специфика. </w:t>
      </w:r>
    </w:p>
    <w:p w14:paraId="48DC3B6E" w14:textId="25C6B4E7" w:rsidR="00E045A5" w:rsidRPr="00321A4C" w:rsidRDefault="00E045A5" w:rsidP="00BA0DDB">
      <w:pPr>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В тази насока бяха предприети действия, като на 05.10.2023 г. 49-то Народно събрание на Република България прие Закона за изменение и допълнение на Закона за енергетиката (ЗИДЗЕ), повторно приет на 10.11.2023 г., обн., ДВ, бр. 96 от 17.11.2023 г. В допълнителните разпоредби на така приетия закон са въведени за първи път национални определения за "домакинство в положение на енергийна бедност" и "уязвим клиент за снабдяване с електрическа енергия", които заедно с измененията, предвидени в чл. 38д от закона са от съществено значение за изпълнението на Реформа C4.R3. Разработване на дефиниция и критерии за "енергийна бедност" (Реформата) от Националния план за възстановяване и устойчивост на Република България. Предвид разпоредбите на § 17 от ЗИДЗЕ</w:t>
      </w:r>
      <w:r w:rsidR="00BA0DDB">
        <w:rPr>
          <w:rFonts w:ascii="Times New Roman" w:hAnsi="Times New Roman" w:cs="Times New Roman"/>
          <w:color w:val="000000"/>
          <w:sz w:val="24"/>
          <w:szCs w:val="24"/>
        </w:rPr>
        <w:t xml:space="preserve"> </w:t>
      </w:r>
      <w:r w:rsidRPr="00321A4C">
        <w:rPr>
          <w:rFonts w:ascii="Times New Roman" w:hAnsi="Times New Roman" w:cs="Times New Roman"/>
          <w:color w:val="000000"/>
          <w:sz w:val="24"/>
          <w:szCs w:val="24"/>
        </w:rPr>
        <w:t xml:space="preserve">Министерският съвет беше задължен да приеме посочената Наредба в срок не по-късно от три месеца след обнародване на закона (съгласно § 50 от преходните и заключителните разпоредби на ЗИДЗЕ). В закона е записано задължение за извършването на оценка на броя на домакинствата в положение на енергийна бедност, както и създаване и поддържане на информационна система за броя на домакинства в положение на енергийна бедност и за уязвими клиенти за снабдяване с електрическа енергия, от националната отговорна институция, определена за разработване на Национален социален климатичен план, съгласно Регламент (ЕС) 2023/955 на Европейския парламент и на Съвета от 10 май 2023 г. за създаване на Социален фонд за климата и за изменение на Регламент (ЕС) 2021/1060 (OB, L 130/1 от 16 май 2023 г.) или от друг орган, определен с акт на МС. </w:t>
      </w:r>
    </w:p>
    <w:p w14:paraId="43E0CFF7"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Към настоящия момент се прилага мярка за подпомагане на лица, отговарящи на определените критерии за доходи и имуществено състояние. Съгласно Закона за социално подпомагане и Наредба № РД-07-5 от 16.05.2008 г. за условията и реда за отпускане на </w:t>
      </w:r>
      <w:r w:rsidRPr="00321A4C">
        <w:rPr>
          <w:rFonts w:ascii="Times New Roman" w:hAnsi="Times New Roman" w:cs="Times New Roman"/>
          <w:color w:val="000000"/>
          <w:sz w:val="24"/>
          <w:szCs w:val="24"/>
        </w:rPr>
        <w:lastRenderedPageBreak/>
        <w:t xml:space="preserve">целева помощ за отопление, на някои социално уязвими групи се отпускат целеви помощи за отопление по време на отоплителния сезон. Обхватът на програмата включва лицата и семействата, които отговарят на нормативно определените условия и изисквания, свързани с доходното, имущественото и здравословното състояние, семейното положение, възрастта, учебната и трудовата заетост и други. Дефинирани са 17 рискови групи с различен размер на диференцирания минимален доход за отопление в зависимост от степента на риска и заложените приоритети. Към настоящия момент, около 250 000 лица и семейства се възползват от тези помощи. </w:t>
      </w:r>
    </w:p>
    <w:p w14:paraId="22970AE1"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Механизмът на подпомагане е следният: Помощта е за съответния отоплителен сезон (1 ноември – 31 март) т. е. за 5 месеца и нейният размер се определя със заповед на министъра на труда и социалната политика преди началото на сезона в съответствие с цената на електроенергията за битов потребител, определена от КЕВР на базата на 385 kWh електроенергия в т. ч. 280 kWh дневна и 105 kWh нощна (необходимо количество енергия за отопление на една стая). Дава се възможност за личен избор на вида на ползваното гориво – твърдо гориво, електроенергия, газ или топлоенергия. Тази помощ ще продължава да се прилага като мярка за подпомагане на енергийно бедните лица. </w:t>
      </w:r>
    </w:p>
    <w:p w14:paraId="17890C8B" w14:textId="77777777" w:rsidR="00E045A5" w:rsidRPr="00321A4C" w:rsidRDefault="00E045A5" w:rsidP="00BA0DDB">
      <w:pPr>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Пазарът на електрическа енергия в България е частично либерализиран, като регулираният дял е 40%. В съответствие с Третия либерализационен пакет на ЕК, България предприе стъпки към пълна либерализация на пазара на електрическа енергия. Поетапното премахване на регулираните цени за крайните потребители ще доведе до увеличаване на конкуренцията между доставчиците на електрическа енергия, но в също време това излага потребителите на по-голямо ценово непостоянство. Целта, която си поставя България е осигуряване на адекватна защита за уязвимите битови потребители на електрическа енергия. В тази връзка, въз основа на подробен анализ са разработени политики и мерки, които да гарантират плавен и поетапен преход за битовите потребители към либерализиран пазар на дребно на</w:t>
      </w:r>
      <w:r w:rsidR="00BA0DDB">
        <w:rPr>
          <w:rFonts w:ascii="Times New Roman" w:hAnsi="Times New Roman" w:cs="Times New Roman"/>
          <w:color w:val="000000"/>
          <w:sz w:val="24"/>
          <w:szCs w:val="24"/>
        </w:rPr>
        <w:t xml:space="preserve"> </w:t>
      </w:r>
      <w:r w:rsidRPr="00321A4C">
        <w:rPr>
          <w:rFonts w:ascii="Times New Roman" w:hAnsi="Times New Roman" w:cs="Times New Roman"/>
          <w:color w:val="000000"/>
          <w:sz w:val="24"/>
          <w:szCs w:val="24"/>
        </w:rPr>
        <w:t xml:space="preserve">електрическа енергия. Този преход ще се осъществи като в началото цената за битовите потребители ще бъде частично регулирана до пълното отпадане на регулираната компонента в тази цена. Преди започване на процеса на пълна либерализация на пазара на електрическа енергия ще бъде въведен механизъм за защита на уязвимите клиенти на електрическа енергия, който включва критерии за идентифициране на тези клиенти, както и финансови и нефинансови мерки за тяхната защита. Този механизъм за подпомагане на уязвимите потребители на електрическа енергия е с цел да се осигури целогодишно покриване на минимални нужди от електрическа енергия, извън нуждите за отопление. </w:t>
      </w:r>
    </w:p>
    <w:p w14:paraId="7FB2E9D0"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Закона за енергетиката е вменено задължението Министерския съвет да определи или създаде орган (ведомство), който да разработи Националния социален и климатичен план и същевременно да изгради и подържа функциониране на информационна система за броя на домакинства в положение на енергийна бедност и за уязвими клиенти за снабдяване с електрическа енергия. </w:t>
      </w:r>
    </w:p>
    <w:p w14:paraId="0DC0CF0B"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lastRenderedPageBreak/>
        <w:t xml:space="preserve">Инициативата е предложена за включване като реформа по RePowerEU. Изпълнението на реформата следва да се осъществи съвместно от екипите на МФ, МТСП, МРРБ и МЕ (отговорни институции по прилагане на подходящи мерки за подкрепа, съгласно разпоредбите на чл. 38д от Закона за енергетиката) и подкрепени от международна финансова институция по примера на изпълнение на други мащабни реформи в страната (като Реформа C4.R1 "Създаване на Национален фонд за декарбонизация" към Националния план за устойчивост и развитие, подкрепена от ГД "Реформи" на Европейската комисия и със сътрудничеството на Европейската инвестиционна банка, ПрайсуотърхаусКупърс и Екорис, за изпълнение на проект "Подкрепа за създаване на Национален декарбонизационен фонд (НДФ)", както и инициативата Renovation Wave for Europe, по линия на инициативата REACT-EU, финансирана от Next Generation EU). </w:t>
      </w:r>
    </w:p>
    <w:p w14:paraId="38D3A3DA"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Предложената Обсерватория има за цел да бъде платформата за обединяване на широка общност от практици, длъжностни лица и изследователи, работещи в посочената област в България и извън нея. Основаната причина за създаването на Обсерваторията като надведомствен орган към Министерския съвет на Р България, който да координира конкретни политики и мерки за тяхното прилагане, е продиктувана от необходимостта от създаване на център за подпомагане на вземането на решения, посветен на този въпрос в България – държава-членка, в която нивата на енергийна бедност са сред най-високите в Европа и където структурните проблеми във връзката между енергетиката, ниските доходи и необновените жилища са особено изразени. </w:t>
      </w:r>
    </w:p>
    <w:p w14:paraId="2A41A748" w14:textId="77777777" w:rsidR="00E045A5" w:rsidRPr="00321A4C" w:rsidRDefault="00E045A5" w:rsidP="00BA0DDB">
      <w:pPr>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Това предложение включва създаването на нов център за знания, който не само да служи като изчерпателен информационен ресурс за заинтересованите страни за нивата на енергийната бедност в България и мерки за справяне с нея, но и да стимулира напредъка на най-съвременните аналитични изследвания за причините и последиците от проблема в страната. Освен това Обсерваторията ще развива иновативни политики и практики за справяне с енергийната бедност и също така ще служи като средоточие за дискусии на заинтересованите страни и обмен на знания по</w:t>
      </w:r>
      <w:r w:rsidR="00BA0DDB">
        <w:rPr>
          <w:rFonts w:ascii="Times New Roman" w:hAnsi="Times New Roman" w:cs="Times New Roman"/>
          <w:color w:val="000000"/>
          <w:sz w:val="24"/>
          <w:szCs w:val="24"/>
        </w:rPr>
        <w:t xml:space="preserve"> </w:t>
      </w:r>
      <w:r w:rsidRPr="00321A4C">
        <w:rPr>
          <w:rFonts w:ascii="Times New Roman" w:hAnsi="Times New Roman" w:cs="Times New Roman"/>
          <w:color w:val="000000"/>
          <w:sz w:val="24"/>
          <w:szCs w:val="24"/>
        </w:rPr>
        <w:t xml:space="preserve">темата. Финансиране на реформата е предвидено да се осъществи чрез Механизма за възстановяване и устойчивост. Издръжката на Обсерваторията след нейното създаване и изпълнението на други специфични дейности, свързани с преодоляване на енергийната бедност ще се подпомагат от Социалния климатичен фонд на ЕС, други финансови инструменти с източник на финансиране ЕС и националния бюджет. </w:t>
      </w:r>
    </w:p>
    <w:p w14:paraId="33BB3AC4"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Наред с тези краткосрочни мерки се търсят и дългосрочни мерки, които са свързани с инвестиции в енергийна ефективност или намаляване на нуждата и количеството енергия, необходими за отопление и охлаждане на дома. Мерките за енергийна ефективност ще доведат до намаляване на броя на потребителите, включени в определението за „енергийно бедни“. Подобряването на енергийната ефективност има няколко положителни ефекта, сред които и това че спомага за намаляване на енергийната бедност. В дългосрочен план е необходимо сградният фонд на ЕС да бъде (дълбоко) реновиран, преустроен в сгради с близко до нулево потребление на енергия, а националните стратегии за обновяване трябва </w:t>
      </w:r>
      <w:r w:rsidRPr="00321A4C">
        <w:rPr>
          <w:rFonts w:ascii="Times New Roman" w:hAnsi="Times New Roman" w:cs="Times New Roman"/>
          <w:color w:val="000000"/>
          <w:sz w:val="24"/>
          <w:szCs w:val="24"/>
        </w:rPr>
        <w:lastRenderedPageBreak/>
        <w:t xml:space="preserve">да улеснят разходоефективната трансформация, като се вземе предвид, че някои домакинства са в състояние на енергийна бедност. Трябва да се разработят национални планове за действие или други подходящи рамки за справяне с енергийната бедност и държавите-членки трябва да осигурят необходимото снабдяване с енергия за уязвимите клиенти, като приемат социални политики или подобрения на енергийната ефективност на жилищата. </w:t>
      </w:r>
    </w:p>
    <w:p w14:paraId="30CA413A" w14:textId="77777777" w:rsidR="00BA0DDB" w:rsidRPr="00BA0DDB" w:rsidRDefault="00BA0DDB" w:rsidP="00321A4C">
      <w:pPr>
        <w:autoSpaceDE w:val="0"/>
        <w:autoSpaceDN w:val="0"/>
        <w:adjustRightInd w:val="0"/>
        <w:spacing w:after="0" w:line="276" w:lineRule="auto"/>
        <w:ind w:firstLine="709"/>
        <w:jc w:val="both"/>
        <w:rPr>
          <w:rFonts w:ascii="Times New Roman" w:hAnsi="Times New Roman" w:cs="Times New Roman"/>
          <w:i/>
          <w:iCs/>
          <w:sz w:val="24"/>
          <w:szCs w:val="24"/>
        </w:rPr>
      </w:pPr>
    </w:p>
    <w:p w14:paraId="5A35279C" w14:textId="77777777" w:rsidR="00E045A5" w:rsidRPr="00BA0DDB" w:rsidRDefault="00E045A5" w:rsidP="00321A4C">
      <w:pPr>
        <w:autoSpaceDE w:val="0"/>
        <w:autoSpaceDN w:val="0"/>
        <w:adjustRightInd w:val="0"/>
        <w:spacing w:after="0" w:line="276" w:lineRule="auto"/>
        <w:ind w:firstLine="709"/>
        <w:jc w:val="both"/>
        <w:rPr>
          <w:rFonts w:ascii="Times New Roman" w:hAnsi="Times New Roman" w:cs="Times New Roman"/>
          <w:sz w:val="24"/>
          <w:szCs w:val="24"/>
        </w:rPr>
      </w:pPr>
      <w:r w:rsidRPr="00BA0DDB">
        <w:rPr>
          <w:rFonts w:ascii="Times New Roman" w:hAnsi="Times New Roman" w:cs="Times New Roman"/>
          <w:i/>
          <w:iCs/>
          <w:sz w:val="24"/>
          <w:szCs w:val="24"/>
        </w:rPr>
        <w:t xml:space="preserve">v. Описание на мерките за създаване на условия за оптимизация на потреблението и за нейното развитие, включително такива, които се отнасят до тарифи, подкрепящи динамично ценообразуване8 </w:t>
      </w:r>
    </w:p>
    <w:p w14:paraId="443D67D5" w14:textId="77777777" w:rsidR="00E045A5" w:rsidRPr="00BA0DDB" w:rsidRDefault="00E045A5" w:rsidP="00321A4C">
      <w:pPr>
        <w:autoSpaceDE w:val="0"/>
        <w:autoSpaceDN w:val="0"/>
        <w:adjustRightInd w:val="0"/>
        <w:spacing w:after="0" w:line="276" w:lineRule="auto"/>
        <w:ind w:firstLine="709"/>
        <w:jc w:val="both"/>
        <w:rPr>
          <w:rFonts w:ascii="Times New Roman" w:hAnsi="Times New Roman" w:cs="Times New Roman"/>
          <w:sz w:val="24"/>
          <w:szCs w:val="24"/>
        </w:rPr>
      </w:pPr>
      <w:r w:rsidRPr="00BA0DDB">
        <w:rPr>
          <w:rFonts w:ascii="Times New Roman" w:hAnsi="Times New Roman" w:cs="Times New Roman"/>
          <w:sz w:val="24"/>
          <w:szCs w:val="24"/>
        </w:rPr>
        <w:t xml:space="preserve">За определяне на тарифите за преноса на природен газ е въведен методът „enter-exit“ съгласно европейската регулация, което дава възможност за определяне на тарифите. </w:t>
      </w:r>
    </w:p>
    <w:p w14:paraId="02C54042" w14:textId="77777777" w:rsidR="00BA0DDB" w:rsidRPr="00BA0DDB" w:rsidRDefault="00BA0DDB" w:rsidP="00321A4C">
      <w:pPr>
        <w:autoSpaceDE w:val="0"/>
        <w:autoSpaceDN w:val="0"/>
        <w:adjustRightInd w:val="0"/>
        <w:spacing w:after="0" w:line="276" w:lineRule="auto"/>
        <w:ind w:firstLine="709"/>
        <w:jc w:val="both"/>
        <w:rPr>
          <w:rFonts w:ascii="Times New Roman" w:hAnsi="Times New Roman" w:cs="Times New Roman"/>
          <w:sz w:val="24"/>
          <w:szCs w:val="24"/>
        </w:rPr>
      </w:pPr>
    </w:p>
    <w:p w14:paraId="643ECA57" w14:textId="77777777" w:rsidR="00E045A5" w:rsidRPr="00BA0DDB" w:rsidRDefault="00E045A5" w:rsidP="00321A4C">
      <w:pPr>
        <w:autoSpaceDE w:val="0"/>
        <w:autoSpaceDN w:val="0"/>
        <w:adjustRightInd w:val="0"/>
        <w:spacing w:after="0" w:line="276" w:lineRule="auto"/>
        <w:ind w:firstLine="709"/>
        <w:jc w:val="both"/>
        <w:rPr>
          <w:rFonts w:ascii="Times New Roman" w:hAnsi="Times New Roman" w:cs="Times New Roman"/>
          <w:b/>
          <w:sz w:val="24"/>
          <w:szCs w:val="24"/>
        </w:rPr>
      </w:pPr>
      <w:r w:rsidRPr="00BA0DDB">
        <w:rPr>
          <w:rFonts w:ascii="Times New Roman" w:hAnsi="Times New Roman" w:cs="Times New Roman"/>
          <w:b/>
          <w:sz w:val="24"/>
          <w:szCs w:val="24"/>
        </w:rPr>
        <w:t xml:space="preserve">Енергийна бедност </w:t>
      </w:r>
    </w:p>
    <w:p w14:paraId="57E54572" w14:textId="05834F32" w:rsidR="00E045A5" w:rsidRPr="00BA0DDB" w:rsidRDefault="00E045A5" w:rsidP="00321A4C">
      <w:pPr>
        <w:autoSpaceDE w:val="0"/>
        <w:autoSpaceDN w:val="0"/>
        <w:adjustRightInd w:val="0"/>
        <w:spacing w:after="0" w:line="276" w:lineRule="auto"/>
        <w:ind w:firstLine="709"/>
        <w:jc w:val="both"/>
        <w:rPr>
          <w:rFonts w:ascii="Times New Roman" w:hAnsi="Times New Roman" w:cs="Times New Roman"/>
          <w:sz w:val="24"/>
          <w:szCs w:val="24"/>
        </w:rPr>
      </w:pPr>
      <w:r w:rsidRPr="00564CF7">
        <w:rPr>
          <w:rFonts w:ascii="Times New Roman" w:hAnsi="Times New Roman" w:cs="Times New Roman"/>
          <w:i/>
          <w:iCs/>
          <w:sz w:val="24"/>
          <w:szCs w:val="24"/>
        </w:rPr>
        <w:t>i. Когато е приложимо, политики и мерки за постигане на целите, посочени в точка 2.4.4</w:t>
      </w:r>
      <w:r w:rsidR="00564CF7" w:rsidRPr="00564CF7">
        <w:rPr>
          <w:rFonts w:ascii="Times New Roman" w:hAnsi="Times New Roman" w:cs="Times New Roman"/>
          <w:i/>
          <w:iCs/>
          <w:sz w:val="24"/>
          <w:szCs w:val="24"/>
        </w:rPr>
        <w:t>. Енергийна бедност</w:t>
      </w:r>
      <w:r w:rsidRPr="00564CF7">
        <w:rPr>
          <w:rFonts w:ascii="Times New Roman" w:hAnsi="Times New Roman" w:cs="Times New Roman"/>
          <w:i/>
          <w:iCs/>
          <w:sz w:val="24"/>
          <w:szCs w:val="24"/>
        </w:rPr>
        <w:t xml:space="preserve"> </w:t>
      </w:r>
      <w:r w:rsidR="00564CF7" w:rsidRPr="00564CF7">
        <w:rPr>
          <w:rFonts w:ascii="Times New Roman" w:hAnsi="Times New Roman" w:cs="Times New Roman"/>
          <w:i/>
          <w:iCs/>
          <w:sz w:val="24"/>
          <w:szCs w:val="24"/>
        </w:rPr>
        <w:t xml:space="preserve">на </w:t>
      </w:r>
      <w:r w:rsidR="005B5EB3">
        <w:rPr>
          <w:rFonts w:ascii="Times New Roman" w:hAnsi="Times New Roman" w:cs="Times New Roman"/>
          <w:i/>
          <w:iCs/>
          <w:sz w:val="24"/>
          <w:szCs w:val="24"/>
        </w:rPr>
        <w:t>ИПЕК</w:t>
      </w:r>
      <w:r w:rsidR="00564CF7" w:rsidRPr="00564CF7">
        <w:rPr>
          <w:rFonts w:ascii="Times New Roman" w:hAnsi="Times New Roman" w:cs="Times New Roman"/>
          <w:i/>
          <w:iCs/>
          <w:sz w:val="24"/>
          <w:szCs w:val="24"/>
        </w:rPr>
        <w:t>.</w:t>
      </w:r>
    </w:p>
    <w:p w14:paraId="11A60F18"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Политики и мерки за постигане национални цели във връзка с енергийната бедност: </w:t>
      </w:r>
    </w:p>
    <w:p w14:paraId="2A9DB5AE" w14:textId="77777777" w:rsidR="00741F81" w:rsidRPr="00BA0DDB" w:rsidRDefault="00E045A5" w:rsidP="00321A4C">
      <w:pPr>
        <w:spacing w:after="0" w:line="276" w:lineRule="auto"/>
        <w:ind w:firstLine="709"/>
        <w:jc w:val="both"/>
        <w:rPr>
          <w:rFonts w:ascii="Times New Roman" w:hAnsi="Times New Roman" w:cs="Times New Roman"/>
          <w:sz w:val="24"/>
          <w:szCs w:val="24"/>
          <w:lang w:val="en-US"/>
        </w:rPr>
      </w:pPr>
      <w:r w:rsidRPr="00321A4C">
        <w:rPr>
          <w:rFonts w:ascii="Times New Roman" w:hAnsi="Times New Roman" w:cs="Times New Roman"/>
          <w:color w:val="000000"/>
          <w:sz w:val="24"/>
          <w:szCs w:val="24"/>
        </w:rPr>
        <w:t xml:space="preserve">- осигуряване адекватна защита за енергийно бедните лица по компетентност вкл. и с предоставяне на целева помощ за отопление за тези, които отговарят на условията на Наредбата определяща критериите, условията и реда за определяне на статут на домакинство в </w:t>
      </w:r>
      <w:r w:rsidRPr="00BA0DDB">
        <w:rPr>
          <w:rFonts w:ascii="Times New Roman" w:hAnsi="Times New Roman" w:cs="Times New Roman"/>
          <w:sz w:val="24"/>
          <w:szCs w:val="24"/>
        </w:rPr>
        <w:t>положение на енергийна бедност и статут на уязвим клиент за снабдяване с електрическа енергия;</w:t>
      </w:r>
    </w:p>
    <w:p w14:paraId="7F4FA342"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BA0DDB">
        <w:rPr>
          <w:rFonts w:ascii="Times New Roman" w:hAnsi="Times New Roman" w:cs="Times New Roman"/>
          <w:sz w:val="24"/>
          <w:szCs w:val="24"/>
        </w:rPr>
        <w:t>- прилагане мех</w:t>
      </w:r>
      <w:r w:rsidRPr="00321A4C">
        <w:rPr>
          <w:rFonts w:ascii="Times New Roman" w:hAnsi="Times New Roman" w:cs="Times New Roman"/>
          <w:color w:val="000000"/>
          <w:sz w:val="24"/>
          <w:szCs w:val="24"/>
        </w:rPr>
        <w:t xml:space="preserve">анизъм за защита на уязвимите клиенти при стартиране на процеса към пълна либерализация на цените на електрическата енергия за крайните клиенти, в това число и битовите; </w:t>
      </w:r>
    </w:p>
    <w:p w14:paraId="2D370D05"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обновяване на сградния фонд; </w:t>
      </w:r>
    </w:p>
    <w:p w14:paraId="33FB3DFA"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повишаване на енергийната ефективност чрез въвеждането към националната цел по чл. 7 от Директива 2012/27/ЕС, на изискването за приоритетно изпълнение на мерки за повишаване на енергийната ефективност при уязвими клиенти, включително домакинства, засегнати от енергийна бедност, и когато е целесъобразно, в сгради за социално жилищно настаняване. </w:t>
      </w:r>
    </w:p>
    <w:p w14:paraId="48856C66"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допълнение към мерките за насърчаване на активното участие на потребителите на пазара на електрическа енергия ще се прилагат и мерки за тяхната защита. В тази връзка политиката на пълна либерализация на пазара на електрическа енергия включва мерки за осигуряване на плавен и постепенен преход на битовите клиенти. При този плавен преход цените на пазара на електрическа енергия на дребно постепенно ще преминат от регулирани цени, през частично регулиране, докато тяхното регулиране бъде напълно премахнато. </w:t>
      </w:r>
    </w:p>
    <w:p w14:paraId="419C50F5"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дългосрочен план, в допълнение към гореспоменатите мерки, ще се прилагат и мерки за подобряване на енергийната ефективност на домовете на енергийно бедни </w:t>
      </w:r>
      <w:r w:rsidRPr="00321A4C">
        <w:rPr>
          <w:rFonts w:ascii="Times New Roman" w:hAnsi="Times New Roman" w:cs="Times New Roman"/>
          <w:color w:val="000000"/>
          <w:sz w:val="24"/>
          <w:szCs w:val="24"/>
        </w:rPr>
        <w:lastRenderedPageBreak/>
        <w:t xml:space="preserve">потребители с цел намаляване на енергийните им разходи и повишаване на техния жизнен комфорт. </w:t>
      </w:r>
    </w:p>
    <w:p w14:paraId="24DAA0EB"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Мерките и програмите по защита на енергийно бедни и уязвими клиенти, допълнително ще бъдат разработени и прилагани чрез Националния Социално Климатичен План. </w:t>
      </w:r>
    </w:p>
    <w:p w14:paraId="725C3002"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От 2008 г. се прилага мярка за подпомагане на най-уязвимите лица и семейства, отговарящи на определените критерии за доходи и имуществено състояние. Съгласно Закона за социално подпомагане и Наредба № РД-07-5 от 16.05.2008 г. за условията и реда за отпускане на целева помощ за отопление, на най-уязвимите лица и семейства се отпуска целева помощ за отопление по време на отоплителния сезон. </w:t>
      </w:r>
    </w:p>
    <w:p w14:paraId="55AAB85B"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Към настоящия момент се прилага мярка за подпомагане на най-уязвимите лица и семейства, отговарящи на определените критерии за доходи и имуществено състояние. Съгласно Закона за социално подпомагане и Наредба № РД-07-5 от 16.05.2008 г. за условията и реда за отпускане на целева помощ за отопление, на социално уязвимите групи се отпуска целева помощ за отопление по време на отоплителния сезон. Обхватът на целевата помощ включва лицата и семействата, които отговарят на нормативно определените условия и изисквания. Дефинирани са 5 рискови групи с различен размер на диференцирания минимален доход за отопление в зависимост от степента на риска и заложените приоритети. Към настоящия момент, около 320 000 лица и семейства се възползват от тази помощ. </w:t>
      </w:r>
    </w:p>
    <w:p w14:paraId="116F702D" w14:textId="77777777" w:rsidR="00E045A5" w:rsidRPr="00321A4C" w:rsidRDefault="00E045A5" w:rsidP="00110800">
      <w:pPr>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Механизмът на подпомагане е следният: Помощта е за съответния отоплителен сезон (1 ноември – 31 март) т. е. за 5 месеца и нейният размер се определя със заповед на</w:t>
      </w:r>
      <w:r w:rsidR="00110800">
        <w:rPr>
          <w:rFonts w:ascii="Times New Roman" w:hAnsi="Times New Roman" w:cs="Times New Roman"/>
          <w:color w:val="000000"/>
          <w:sz w:val="24"/>
          <w:szCs w:val="24"/>
        </w:rPr>
        <w:t xml:space="preserve"> </w:t>
      </w:r>
      <w:r w:rsidRPr="00321A4C">
        <w:rPr>
          <w:rFonts w:ascii="Times New Roman" w:hAnsi="Times New Roman" w:cs="Times New Roman"/>
          <w:color w:val="000000"/>
          <w:sz w:val="24"/>
          <w:szCs w:val="24"/>
        </w:rPr>
        <w:t xml:space="preserve">министъра на труда и социалната политика преди началото на сезона в съответствие с цената на електроенергията за битов потребител, определена от КЕВР на базата на 500 kWh електроенергия в т. ч. 300 kWh дневна и 200 kWh нощна (необходимо количество енергия за отопление на една стая). Целевата помощ за отопление се предоставя за закупуване на – топлоенергия, електроенергия, природен газ или твърдо гориво. Тази помощ ще продължава да се прилага като мярка за подпомагане на най-уязвимите лица и семейства. </w:t>
      </w:r>
    </w:p>
    <w:p w14:paraId="7B2F1E26" w14:textId="77777777" w:rsidR="00E045A5"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Целта на Програма „Осигуряване на целева социална закрила за отопление на населението с ниски доходи“ е предоставяне на финансови средства на хората с ниски доходи за да осигурят отоплението си през зимния период. </w:t>
      </w:r>
    </w:p>
    <w:p w14:paraId="59A493A9" w14:textId="77777777" w:rsidR="00BA0DDB" w:rsidRPr="00321A4C" w:rsidRDefault="00BA0DDB"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19C19DFA" w14:textId="77777777" w:rsidR="00E045A5" w:rsidRPr="00BA0DDB" w:rsidRDefault="00E045A5" w:rsidP="004F15F5">
      <w:pPr>
        <w:pStyle w:val="ListParagraph"/>
        <w:numPr>
          <w:ilvl w:val="0"/>
          <w:numId w:val="51"/>
        </w:numPr>
        <w:autoSpaceDE w:val="0"/>
        <w:autoSpaceDN w:val="0"/>
        <w:adjustRightInd w:val="0"/>
        <w:spacing w:after="0" w:line="276" w:lineRule="auto"/>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t xml:space="preserve">Условията и реда за отпускане на целева помощ за отопление на лица и семейства през отоплителния сезон са регламентирани в Наредба № РД 07-5/16.05.2008 г. (Наредбата). </w:t>
      </w:r>
    </w:p>
    <w:p w14:paraId="33D642A8"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съответствие с нормативно регламентираните в Наредбата условия, право на целева помощ за отопление имат лицата и семействата, чийто средномесечен доход за предходните шест месеца преди месеца на подаване на заявление-декларация е по-нисък или равен от диференциран доход за отопление (ДДО). Тези лица и семейства следва да </w:t>
      </w:r>
      <w:r w:rsidRPr="00321A4C">
        <w:rPr>
          <w:rFonts w:ascii="Times New Roman" w:hAnsi="Times New Roman" w:cs="Times New Roman"/>
          <w:color w:val="000000"/>
          <w:sz w:val="24"/>
          <w:szCs w:val="24"/>
        </w:rPr>
        <w:lastRenderedPageBreak/>
        <w:t xml:space="preserve">отговарят и на условията на чл. 10 и чл. 11 от Правилника за прилагане на Закона за социално подпомагане. </w:t>
      </w:r>
    </w:p>
    <w:p w14:paraId="3DC801C5"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Заявленията-декларации за отпускане на целева помощ за отопление за съответния отоплителен сезон се подават в дирекция „Социално подпомагане“ по настоящ адрес в периода от 01 юли до 31 октомври 2022 г. Със заповед на министъра на труда и социалната политика се определя месечен размер на целевата помощ за отопление за съответния отоплителен сезон. </w:t>
      </w:r>
    </w:p>
    <w:p w14:paraId="3CF8BB22" w14:textId="77777777" w:rsidR="00E045A5"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Предоставяната целева помощ за отопление е за период от 5 месеца през съответния отоплителен сезон, като в заявлението-декларация лицата и семействата задължително заявяват вида на ползваното отопление – топлоенергия, електроенергия, твърдо гориво или природен газ. </w:t>
      </w:r>
    </w:p>
    <w:p w14:paraId="2D2FD5A7" w14:textId="77777777" w:rsidR="00BA0DDB" w:rsidRPr="00321A4C" w:rsidRDefault="00BA0DDB"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1F243A64" w14:textId="77777777" w:rsidR="00E045A5" w:rsidRPr="00BA0DDB" w:rsidRDefault="00E045A5" w:rsidP="00BA0DDB">
      <w:pPr>
        <w:shd w:val="clear" w:color="auto" w:fill="FBE4D5" w:themeFill="accent2" w:themeFillTint="33"/>
        <w:autoSpaceDE w:val="0"/>
        <w:autoSpaceDN w:val="0"/>
        <w:adjustRightInd w:val="0"/>
        <w:spacing w:after="0" w:line="276" w:lineRule="auto"/>
        <w:ind w:firstLine="709"/>
        <w:jc w:val="both"/>
        <w:rPr>
          <w:rFonts w:ascii="Times New Roman" w:hAnsi="Times New Roman" w:cs="Times New Roman"/>
          <w:sz w:val="24"/>
          <w:szCs w:val="24"/>
        </w:rPr>
      </w:pPr>
      <w:r w:rsidRPr="00BA0DDB">
        <w:rPr>
          <w:rFonts w:ascii="Times New Roman" w:hAnsi="Times New Roman" w:cs="Times New Roman"/>
          <w:b/>
          <w:bCs/>
          <w:sz w:val="24"/>
          <w:szCs w:val="24"/>
        </w:rPr>
        <w:t xml:space="preserve">Измерение „Научни изследвания, иновации и конкурентоспособност“ </w:t>
      </w:r>
    </w:p>
    <w:p w14:paraId="4BE0D62F" w14:textId="288629BC" w:rsidR="00E045A5" w:rsidRPr="00BA0DDB" w:rsidRDefault="00E045A5" w:rsidP="00321A4C">
      <w:pPr>
        <w:autoSpaceDE w:val="0"/>
        <w:autoSpaceDN w:val="0"/>
        <w:adjustRightInd w:val="0"/>
        <w:spacing w:after="0" w:line="276" w:lineRule="auto"/>
        <w:ind w:firstLine="709"/>
        <w:jc w:val="both"/>
        <w:rPr>
          <w:rFonts w:ascii="Times New Roman" w:hAnsi="Times New Roman" w:cs="Times New Roman"/>
          <w:sz w:val="24"/>
          <w:szCs w:val="24"/>
        </w:rPr>
      </w:pPr>
      <w:r w:rsidRPr="00BA0DDB">
        <w:rPr>
          <w:rFonts w:ascii="Times New Roman" w:hAnsi="Times New Roman" w:cs="Times New Roman"/>
          <w:i/>
          <w:iCs/>
          <w:sz w:val="24"/>
          <w:szCs w:val="24"/>
        </w:rPr>
        <w:t>i. Политики и мерки, свързани с елементите, посочени в точка 2.5.</w:t>
      </w:r>
      <w:r w:rsidR="00564CF7">
        <w:rPr>
          <w:rFonts w:ascii="Times New Roman" w:hAnsi="Times New Roman" w:cs="Times New Roman"/>
          <w:i/>
          <w:iCs/>
          <w:sz w:val="24"/>
          <w:szCs w:val="24"/>
        </w:rPr>
        <w:t xml:space="preserve"> на </w:t>
      </w:r>
      <w:r w:rsidR="005B5EB3">
        <w:rPr>
          <w:rFonts w:ascii="Times New Roman" w:hAnsi="Times New Roman" w:cs="Times New Roman"/>
          <w:i/>
          <w:iCs/>
          <w:sz w:val="24"/>
          <w:szCs w:val="24"/>
        </w:rPr>
        <w:t>ИПЕК</w:t>
      </w:r>
      <w:r w:rsidRPr="00BA0DDB">
        <w:rPr>
          <w:rFonts w:ascii="Times New Roman" w:hAnsi="Times New Roman" w:cs="Times New Roman"/>
          <w:i/>
          <w:iCs/>
          <w:sz w:val="24"/>
          <w:szCs w:val="24"/>
        </w:rPr>
        <w:t xml:space="preserve"> </w:t>
      </w:r>
    </w:p>
    <w:p w14:paraId="0B85AA56"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Националните общи цели и конкретни цели за финансиране за публични и, при наличност, частни научни изследвания и иновации във връзка с Енергийния съюз, включително, ако е подходящо, график за постигане на целите: </w:t>
      </w:r>
    </w:p>
    <w:p w14:paraId="21E44FE1" w14:textId="77777777" w:rsidR="00E045A5" w:rsidRPr="00BA0DDB" w:rsidRDefault="00E045A5" w:rsidP="004F15F5">
      <w:pPr>
        <w:pStyle w:val="ListParagraph"/>
        <w:numPr>
          <w:ilvl w:val="0"/>
          <w:numId w:val="59"/>
        </w:numPr>
        <w:autoSpaceDE w:val="0"/>
        <w:autoSpaceDN w:val="0"/>
        <w:adjustRightInd w:val="0"/>
        <w:spacing w:after="0" w:line="276" w:lineRule="auto"/>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t xml:space="preserve">Иновационната стратегия за интелигентна специализация на Република България 2021-2027 г. </w:t>
      </w:r>
    </w:p>
    <w:p w14:paraId="4ED92BC7" w14:textId="77777777" w:rsidR="00E045A5" w:rsidRPr="00BA0DDB" w:rsidRDefault="00E045A5" w:rsidP="004F15F5">
      <w:pPr>
        <w:pStyle w:val="ListParagraph"/>
        <w:numPr>
          <w:ilvl w:val="0"/>
          <w:numId w:val="59"/>
        </w:numPr>
        <w:autoSpaceDE w:val="0"/>
        <w:autoSpaceDN w:val="0"/>
        <w:adjustRightInd w:val="0"/>
        <w:spacing w:after="0" w:line="276" w:lineRule="auto"/>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t xml:space="preserve">Повишаване на уменията и създаване на квалифицирана работна сила, която да поддържа производството на технологии за нулеви нетни емисии, включително създаване (или участие) на академии за нулеви нетни емисии; </w:t>
      </w:r>
    </w:p>
    <w:p w14:paraId="7C713E3E" w14:textId="77777777" w:rsidR="00E045A5" w:rsidRPr="00BA0DDB" w:rsidRDefault="00E045A5" w:rsidP="004F15F5">
      <w:pPr>
        <w:pStyle w:val="ListParagraph"/>
        <w:numPr>
          <w:ilvl w:val="0"/>
          <w:numId w:val="59"/>
        </w:numPr>
        <w:autoSpaceDE w:val="0"/>
        <w:autoSpaceDN w:val="0"/>
        <w:adjustRightInd w:val="0"/>
        <w:spacing w:after="0" w:line="276" w:lineRule="auto"/>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t xml:space="preserve">Създаване на индустриални паркове по смисъла на Закона за индустриалните паркове. </w:t>
      </w:r>
    </w:p>
    <w:p w14:paraId="1F6DBF45"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През последното десетилетие научните изследвания и иновациите станаха основен приоритет на европейската политика. Ето защо и българската страна разглежда научните изследвания и иновациите като реална възможност за подобряване на конкурентоспособността на икономиката, генератор на икономически растеж и работни места. По отношение на научните изследвания, иновациите и конкурентоспособността, водената от българската държава политика е насочена към: </w:t>
      </w:r>
    </w:p>
    <w:p w14:paraId="504F7F86" w14:textId="77777777" w:rsidR="00E045A5" w:rsidRPr="00BA0DDB" w:rsidRDefault="00E045A5" w:rsidP="004F15F5">
      <w:pPr>
        <w:pStyle w:val="ListParagraph"/>
        <w:numPr>
          <w:ilvl w:val="0"/>
          <w:numId w:val="59"/>
        </w:numPr>
        <w:autoSpaceDE w:val="0"/>
        <w:autoSpaceDN w:val="0"/>
        <w:adjustRightInd w:val="0"/>
        <w:spacing w:after="0" w:line="276" w:lineRule="auto"/>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t xml:space="preserve">Внедряване на високоефективни енергийни технологии; </w:t>
      </w:r>
    </w:p>
    <w:p w14:paraId="14DC2022" w14:textId="77777777" w:rsidR="00E045A5" w:rsidRPr="00BA0DDB" w:rsidRDefault="00E045A5" w:rsidP="004F15F5">
      <w:pPr>
        <w:pStyle w:val="ListParagraph"/>
        <w:numPr>
          <w:ilvl w:val="0"/>
          <w:numId w:val="59"/>
        </w:numPr>
        <w:autoSpaceDE w:val="0"/>
        <w:autoSpaceDN w:val="0"/>
        <w:adjustRightInd w:val="0"/>
        <w:spacing w:after="0" w:line="276" w:lineRule="auto"/>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t xml:space="preserve">Интелигентни енергийни мрежи и съхранение на енергия; </w:t>
      </w:r>
    </w:p>
    <w:p w14:paraId="5BC973C5" w14:textId="77777777" w:rsidR="00E045A5" w:rsidRPr="00BA0DDB" w:rsidRDefault="00E045A5" w:rsidP="004F15F5">
      <w:pPr>
        <w:pStyle w:val="ListParagraph"/>
        <w:numPr>
          <w:ilvl w:val="0"/>
          <w:numId w:val="59"/>
        </w:numPr>
        <w:autoSpaceDE w:val="0"/>
        <w:autoSpaceDN w:val="0"/>
        <w:adjustRightInd w:val="0"/>
        <w:spacing w:after="0" w:line="276" w:lineRule="auto"/>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t xml:space="preserve">Изследвания в областта на ядрена енергия; </w:t>
      </w:r>
    </w:p>
    <w:p w14:paraId="5A6B27FA" w14:textId="77777777" w:rsidR="00E045A5" w:rsidRPr="00BA0DDB" w:rsidRDefault="00E045A5" w:rsidP="004F15F5">
      <w:pPr>
        <w:pStyle w:val="ListParagraph"/>
        <w:numPr>
          <w:ilvl w:val="0"/>
          <w:numId w:val="59"/>
        </w:numPr>
        <w:autoSpaceDE w:val="0"/>
        <w:autoSpaceDN w:val="0"/>
        <w:adjustRightInd w:val="0"/>
        <w:spacing w:after="0" w:line="276" w:lineRule="auto"/>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t xml:space="preserve">Проучване възможностите за внедряване на електрохимични източници на енергия като акумулаторни батерии, технологии на базата на водород и горивни клетки. </w:t>
      </w:r>
    </w:p>
    <w:p w14:paraId="5BE992BC"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2AAF2C3C"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За реализиране на политиките в областта на иновациите, ще се предприемат следните мерки: </w:t>
      </w:r>
    </w:p>
    <w:p w14:paraId="1D40CFE4" w14:textId="77777777" w:rsidR="00E045A5" w:rsidRPr="00BA0DDB" w:rsidRDefault="00E045A5" w:rsidP="004F15F5">
      <w:pPr>
        <w:pStyle w:val="ListParagraph"/>
        <w:numPr>
          <w:ilvl w:val="0"/>
          <w:numId w:val="59"/>
        </w:numPr>
        <w:autoSpaceDE w:val="0"/>
        <w:autoSpaceDN w:val="0"/>
        <w:adjustRightInd w:val="0"/>
        <w:spacing w:after="0" w:line="276" w:lineRule="auto"/>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lastRenderedPageBreak/>
        <w:t xml:space="preserve">Постигане на целите по пакет „Чиста енергия за всички европейци“ на ЕС до 2030 г., както и за развитие на нисковъглеродна икономика в дългосрочен план; </w:t>
      </w:r>
    </w:p>
    <w:p w14:paraId="5A742C5A" w14:textId="77777777" w:rsidR="00E045A5" w:rsidRPr="00BA0DDB" w:rsidRDefault="00E045A5" w:rsidP="004F15F5">
      <w:pPr>
        <w:pStyle w:val="ListParagraph"/>
        <w:numPr>
          <w:ilvl w:val="0"/>
          <w:numId w:val="59"/>
        </w:numPr>
        <w:autoSpaceDE w:val="0"/>
        <w:autoSpaceDN w:val="0"/>
        <w:adjustRightInd w:val="0"/>
        <w:spacing w:after="0" w:line="276" w:lineRule="auto"/>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t xml:space="preserve">Увеличаване броя на иновативните фирми (въвеждане и развитие на иновации) във високотехнологични и интензивни сектори, в съответствие със Стратегията за интелигентна специализация; </w:t>
      </w:r>
    </w:p>
    <w:p w14:paraId="35D66052" w14:textId="77777777" w:rsidR="00E045A5" w:rsidRPr="00BA0DDB" w:rsidRDefault="00E045A5" w:rsidP="004F15F5">
      <w:pPr>
        <w:pStyle w:val="ListParagraph"/>
        <w:numPr>
          <w:ilvl w:val="0"/>
          <w:numId w:val="59"/>
        </w:numPr>
        <w:autoSpaceDE w:val="0"/>
        <w:autoSpaceDN w:val="0"/>
        <w:adjustRightInd w:val="0"/>
        <w:spacing w:after="0" w:line="276" w:lineRule="auto"/>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t xml:space="preserve">Повишаване на конкурентоспособността и ефективността на изследователската система чрез поставяне акцент върху резултатите и създаване на стимули (като подобряване на условията на труд, международно сътрудничество и мобилност, сътрудничество с бизнеса), с цел привличане на квалифицирани изследователски екипи; </w:t>
      </w:r>
    </w:p>
    <w:p w14:paraId="7C3A0BA4" w14:textId="77777777" w:rsidR="00E045A5" w:rsidRPr="00BA0DDB" w:rsidRDefault="00E045A5" w:rsidP="004F15F5">
      <w:pPr>
        <w:pStyle w:val="ListParagraph"/>
        <w:numPr>
          <w:ilvl w:val="0"/>
          <w:numId w:val="59"/>
        </w:numPr>
        <w:autoSpaceDE w:val="0"/>
        <w:autoSpaceDN w:val="0"/>
        <w:adjustRightInd w:val="0"/>
        <w:spacing w:after="0" w:line="276" w:lineRule="auto"/>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t xml:space="preserve">Развиване на умения в университети и изследователски институции за повишаване на търговската жизнеспособност и пазарната значимост на техните изследователски проекти и способността да участват в изследователски консорциуми; </w:t>
      </w:r>
    </w:p>
    <w:p w14:paraId="59DD9B52" w14:textId="77777777" w:rsidR="00E045A5" w:rsidRDefault="00E045A5" w:rsidP="004F15F5">
      <w:pPr>
        <w:pStyle w:val="ListParagraph"/>
        <w:numPr>
          <w:ilvl w:val="0"/>
          <w:numId w:val="59"/>
        </w:numPr>
        <w:autoSpaceDE w:val="0"/>
        <w:autoSpaceDN w:val="0"/>
        <w:adjustRightInd w:val="0"/>
        <w:spacing w:after="0" w:line="276" w:lineRule="auto"/>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t>Подкрепа за сътрудничество между научните изследвания и бизнеса, трансфер на технологии и прилагане на резултатите от научните изследвания;</w:t>
      </w:r>
    </w:p>
    <w:p w14:paraId="259C85A9" w14:textId="77777777" w:rsidR="00E045A5" w:rsidRPr="00BA0DDB" w:rsidRDefault="00E045A5" w:rsidP="004F15F5">
      <w:pPr>
        <w:pStyle w:val="ListParagraph"/>
        <w:numPr>
          <w:ilvl w:val="0"/>
          <w:numId w:val="59"/>
        </w:numPr>
        <w:autoSpaceDE w:val="0"/>
        <w:autoSpaceDN w:val="0"/>
        <w:adjustRightInd w:val="0"/>
        <w:spacing w:after="0" w:line="276" w:lineRule="auto"/>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t xml:space="preserve">Насърчаване на бизнес-инвестиции в научни изследвания и във внедряването на иновациите в промишлеността и бита; </w:t>
      </w:r>
    </w:p>
    <w:p w14:paraId="00C07B51"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Предвижда се да бъде разработен пилотен проект за водород с обща инсталирана мощност от 20 MW. Въз основа този проект ще бъде анализирано по-нататъшното развитие на водородните мощности след 2030 г. </w:t>
      </w:r>
    </w:p>
    <w:p w14:paraId="73477A82"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Планира се също така и участие следните области на научните изследвания и развойната дейност: </w:t>
      </w:r>
    </w:p>
    <w:p w14:paraId="1833D440" w14:textId="77777777" w:rsidR="00E045A5" w:rsidRPr="00BA0DDB" w:rsidRDefault="00E045A5" w:rsidP="004F15F5">
      <w:pPr>
        <w:pStyle w:val="ListParagraph"/>
        <w:numPr>
          <w:ilvl w:val="0"/>
          <w:numId w:val="59"/>
        </w:numPr>
        <w:autoSpaceDE w:val="0"/>
        <w:autoSpaceDN w:val="0"/>
        <w:adjustRightInd w:val="0"/>
        <w:spacing w:after="0" w:line="276" w:lineRule="auto"/>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t xml:space="preserve">CROSSBOW - Трансгранично управление на възобновяемите енергийни източници и инсталации за съхранение на енергия, което ще позволи по-голяма гъвкавост на енергийната система по отношение производството на възобновяема енергия; </w:t>
      </w:r>
    </w:p>
    <w:p w14:paraId="17626668" w14:textId="77777777" w:rsidR="00E045A5" w:rsidRPr="00BA0DDB" w:rsidRDefault="00E045A5" w:rsidP="004F15F5">
      <w:pPr>
        <w:pStyle w:val="ListParagraph"/>
        <w:numPr>
          <w:ilvl w:val="0"/>
          <w:numId w:val="59"/>
        </w:numPr>
        <w:autoSpaceDE w:val="0"/>
        <w:autoSpaceDN w:val="0"/>
        <w:adjustRightInd w:val="0"/>
        <w:spacing w:after="0" w:line="276" w:lineRule="auto"/>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t xml:space="preserve">FLEXITRANSTORE - Интегрирана платформа за повишена гъвкавост в интелигентните мрежи за данни с обекти за съхранение на възобновяема енергия, което ще повиши гъвкавостта на системата на вътрешния енергиен пазар; </w:t>
      </w:r>
    </w:p>
    <w:p w14:paraId="34FF5E60" w14:textId="77777777" w:rsidR="00E045A5" w:rsidRPr="00BA0DDB" w:rsidRDefault="00E045A5" w:rsidP="004F15F5">
      <w:pPr>
        <w:pStyle w:val="ListParagraph"/>
        <w:numPr>
          <w:ilvl w:val="0"/>
          <w:numId w:val="59"/>
        </w:numPr>
        <w:autoSpaceDE w:val="0"/>
        <w:autoSpaceDN w:val="0"/>
        <w:adjustRightInd w:val="0"/>
        <w:spacing w:after="0" w:line="276" w:lineRule="auto"/>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t xml:space="preserve">INTERRFACE -Архитектура на потребителски интерфейс за предоставяне на иновативни мрежови услуги за по-ефективна енергийна система, което ще доведе до увеличаване гъвкавостта на системата на вътрешния енергиен пазар; </w:t>
      </w:r>
    </w:p>
    <w:p w14:paraId="43D4645D" w14:textId="77777777" w:rsidR="00E045A5" w:rsidRPr="00BA0DDB" w:rsidRDefault="00E045A5" w:rsidP="004F15F5">
      <w:pPr>
        <w:pStyle w:val="ListParagraph"/>
        <w:numPr>
          <w:ilvl w:val="0"/>
          <w:numId w:val="59"/>
        </w:numPr>
        <w:autoSpaceDE w:val="0"/>
        <w:autoSpaceDN w:val="0"/>
        <w:adjustRightInd w:val="0"/>
        <w:spacing w:after="0" w:line="276" w:lineRule="auto"/>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t xml:space="preserve">SDN-microSENSE - SDN - гъвкавост на микропреносните мрежи в електроенергийната система. Това ще повиши сигурността на системата на вътрешния енергиен пазар; </w:t>
      </w:r>
    </w:p>
    <w:p w14:paraId="461B154F" w14:textId="77777777" w:rsidR="00E045A5" w:rsidRPr="00BA0DDB" w:rsidRDefault="00E045A5" w:rsidP="004F15F5">
      <w:pPr>
        <w:pStyle w:val="ListParagraph"/>
        <w:numPr>
          <w:ilvl w:val="0"/>
          <w:numId w:val="59"/>
        </w:numPr>
        <w:autoSpaceDE w:val="0"/>
        <w:autoSpaceDN w:val="0"/>
        <w:adjustRightInd w:val="0"/>
        <w:spacing w:after="0" w:line="276" w:lineRule="auto"/>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t xml:space="preserve">FORESIGHT - усъвършенствана платформа за симулиране на киберсигурност за обучение в авиационна, морска и енергийна готовност, с цел повишаване сигурността на системата на вътрешния пазар; </w:t>
      </w:r>
    </w:p>
    <w:p w14:paraId="180D4328" w14:textId="77777777" w:rsidR="00E045A5" w:rsidRPr="00BA0DDB" w:rsidRDefault="00E045A5" w:rsidP="004F15F5">
      <w:pPr>
        <w:pStyle w:val="ListParagraph"/>
        <w:numPr>
          <w:ilvl w:val="0"/>
          <w:numId w:val="59"/>
        </w:numPr>
        <w:autoSpaceDE w:val="0"/>
        <w:autoSpaceDN w:val="0"/>
        <w:adjustRightInd w:val="0"/>
        <w:spacing w:after="0" w:line="276" w:lineRule="auto"/>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lastRenderedPageBreak/>
        <w:t xml:space="preserve">X-FLEX - Интегрирани енергийни решения и нови пазарни механизми за разширена гъвкавост на европейската мрежа, с цел увеличаване на гъвкавостта на системата на вътрешния енергиен пазар; </w:t>
      </w:r>
    </w:p>
    <w:p w14:paraId="4FD605A2" w14:textId="77777777" w:rsidR="00E045A5" w:rsidRPr="00BA0DDB" w:rsidRDefault="00E045A5" w:rsidP="004F15F5">
      <w:pPr>
        <w:pStyle w:val="ListParagraph"/>
        <w:numPr>
          <w:ilvl w:val="0"/>
          <w:numId w:val="59"/>
        </w:numPr>
        <w:autoSpaceDE w:val="0"/>
        <w:autoSpaceDN w:val="0"/>
        <w:adjustRightInd w:val="0"/>
        <w:spacing w:after="0" w:line="276" w:lineRule="auto"/>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t xml:space="preserve">FARCROSS - Улесняване на трансграничния пренос на електроенергия чрез иновации, повишаване на гъвкавостта на системата на IEM, увеличаване на регионалното сътрудничество, повишаване на сигурността на системата; </w:t>
      </w:r>
    </w:p>
    <w:p w14:paraId="60A30937" w14:textId="77777777" w:rsidR="00E045A5" w:rsidRPr="00BA0DDB" w:rsidRDefault="00E045A5" w:rsidP="004F15F5">
      <w:pPr>
        <w:pStyle w:val="ListParagraph"/>
        <w:numPr>
          <w:ilvl w:val="0"/>
          <w:numId w:val="59"/>
        </w:numPr>
        <w:autoSpaceDE w:val="0"/>
        <w:autoSpaceDN w:val="0"/>
        <w:adjustRightInd w:val="0"/>
        <w:spacing w:after="0" w:line="276" w:lineRule="auto"/>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t xml:space="preserve">TRINITY - Увеличаване на капацитета за пренос на регионални граници чрез интелигентни пазарни технологии, повишаване на гъвкавостта на системата на IEM, с цел увеличаване на регионалното сътрудничество; </w:t>
      </w:r>
    </w:p>
    <w:p w14:paraId="69A57C5D" w14:textId="77777777" w:rsidR="00E045A5" w:rsidRDefault="00E045A5" w:rsidP="004F15F5">
      <w:pPr>
        <w:pStyle w:val="ListParagraph"/>
        <w:numPr>
          <w:ilvl w:val="0"/>
          <w:numId w:val="59"/>
        </w:numPr>
        <w:autoSpaceDE w:val="0"/>
        <w:autoSpaceDN w:val="0"/>
        <w:adjustRightInd w:val="0"/>
        <w:spacing w:after="0" w:line="276" w:lineRule="auto"/>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t xml:space="preserve">Механизъм за финансови компенсации за подкрепа на конкурентоспособността на индустриите изложени на риск, с цел намаляване на отделяните от тях вредни емисии; </w:t>
      </w:r>
    </w:p>
    <w:p w14:paraId="0CA0DF85" w14:textId="77777777" w:rsidR="00E045A5" w:rsidRPr="00BA0DDB" w:rsidRDefault="00E045A5" w:rsidP="004F15F5">
      <w:pPr>
        <w:pStyle w:val="ListParagraph"/>
        <w:numPr>
          <w:ilvl w:val="0"/>
          <w:numId w:val="59"/>
        </w:numPr>
        <w:autoSpaceDE w:val="0"/>
        <w:autoSpaceDN w:val="0"/>
        <w:adjustRightInd w:val="0"/>
        <w:spacing w:after="0" w:line="276" w:lineRule="auto"/>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t xml:space="preserve">Национални научни програми на Министерството на образованието - „Нисковъглеродна енергия за транспорт и живот - EPLUS“ и „Опазване на околната среда и намаляване на риска от нежелани събития и природни бедствия“ за създаване на експертиза с фокус върху съхранението и преобразуването на възобновяема енергия, водород - базирани технологии и екомобилност, провеждане на основни и приложни изследвания. Програмите ще се изпълняват за период от 3 до 5 години. </w:t>
      </w:r>
    </w:p>
    <w:p w14:paraId="12AB9BBB"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По ПНИИДИТ е предвидена подкрепа за развитието на Европейски цифрови иновационни хъбове (ЕЦИХ) под формата на синергийно финансиране в рамките на приоритет 1 „Устойчиво развитие на българската научно-изследователска и иновационна екосистема“, Приоритетно направление 4 „Синергия с програми „Хоризонт Европа“ и „Цифрова Европа“. </w:t>
      </w:r>
    </w:p>
    <w:p w14:paraId="5C820111"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По линия на синергийното финансиране по ПНИИДИТ са предвидени следните процедури за директно предоставяне за развитието на национална мрежа от ЕЦИХ, чиято основна цел е предоставяне на иновативни услуги на малките и средни предприятия за тяхната цифрова трансформация; </w:t>
      </w:r>
    </w:p>
    <w:p w14:paraId="026FC27F"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По ПНИИДИТ е предвидено Финансиране на проекти успешно преминали процедура по селекция на ЕК и получили „Печат за високи постижения“ от Европейския иновационен съвет“. Тези компании са силно иновативни и имат потенциал за развитие на нови пазарни ниши; </w:t>
      </w:r>
    </w:p>
    <w:p w14:paraId="14852309"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Приоритетно направление 3 на ПНИИДИТ предвижда подкрепа за следните мерки: </w:t>
      </w:r>
    </w:p>
    <w:p w14:paraId="529DB9C8"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 Програми за мобилност между индустрията, изследователски организации и висши училища за допълнително развитие на практическия капацитет и развитие на иновационния и технологичен потенциал на съответното предприятие. Програмите ще насърчават интерсекторната мобилност на учени в предприятията; завръщане на учени от чужбина и привличането им на работа в предприятия. </w:t>
      </w:r>
    </w:p>
    <w:p w14:paraId="07ED1044"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lastRenderedPageBreak/>
        <w:t xml:space="preserve">ПНИИДИТ подкрепя развитието на умения за интелигентна специализация, индустриален преход и предприемачество. Основната цел на тази подкрепа е развитието на човешкия капитал и на такива знания, умения и компетентности в предприятията, липсата на които биха довели до загуба на персонал, поради дигиталната и зелена трансформация на икономиката. Подкрепата ще се реализира в сътрудничество с научно-изследователските организации и висшите училища в Европа чрез Bridge схеми за придобивате на нови, в т.ч. и специфични дигитални и технологични умения на персонала в бизнеси, както и подкрепа за индустриите за развитие на академии за умения съвместно с висшите училища и научните организации, развитие на акселераторски програми. </w:t>
      </w:r>
    </w:p>
    <w:p w14:paraId="2C95B5AE" w14:textId="77777777" w:rsidR="00E045A5" w:rsidRPr="00321A4C" w:rsidRDefault="00E045A5" w:rsidP="00321A4C">
      <w:pPr>
        <w:pStyle w:val="Default"/>
        <w:spacing w:line="276" w:lineRule="auto"/>
        <w:ind w:firstLine="709"/>
        <w:jc w:val="both"/>
        <w:rPr>
          <w:lang w:val="bg-BG"/>
        </w:rPr>
      </w:pPr>
      <w:r w:rsidRPr="00321A4C">
        <w:t xml:space="preserve">Процедура за директно предоставяне „Устойчиво развитие на Центрове за върхови постижения и Центрове за компетентност (ЦК), в т.ч. и на конкретни инфраструктури или техни обединения от НПКНИ“ е подпомагане на устойчивото развитие на ЦВП и ЦК, които се изграждат по ОПНОИР, за тяхното преминаване в оперативна фаза, стимулиране сътрудничеството им с бизнеса чрез трансфер на технологии, пълноценното им интегриране в научноизследователската и иновационна екосистема </w:t>
      </w:r>
      <w:r w:rsidRPr="00321A4C">
        <w:rPr>
          <w:lang w:val="bg-BG"/>
        </w:rPr>
        <w:t xml:space="preserve">на страната и увеличаване на приноса им към интелигентната икономическа трансформация. </w:t>
      </w:r>
    </w:p>
    <w:p w14:paraId="066797CD"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„Програми за сътрудничество за иновации и трансфер на знания и технологии в областите на европейските вериги за създаване на стойност (European value chains)“, които ще се разработват съвместно между индустрията, МСП и научните организации и висши училища за изграждане на дългосрочно сътрудничество между тях в областите на ИСИС 2021-2027.; </w:t>
      </w:r>
    </w:p>
    <w:p w14:paraId="4F3740CE"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Всички мерки в областта на иновациите, изпълнени по ОПИК и предвидени за изпълнение по ПИТ на НПВУ и по ПКИП 2021-2027 г. са в съответствие с Иновационната стратегия за интелигентна специализация и са посочени в предходната подточка. </w:t>
      </w:r>
    </w:p>
    <w:p w14:paraId="15BDF48F"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През следващите години, усилията на държавата ще бъдат насочени към внедряване на нови енергоспестяващи технологии, които има значителен принос в намаляване на въглеродните емисии в атмосферата, намаляват парниковия ефект и прегряването на сградите. Ще се стимулира използването на съвременни иновационни технологии, способстващи за значително редуциране навлизането през остъклените повърхности в сградите на вредните за човешкото здраве ултравиолетови и инфрачервени лъчения. Целта е чрез осезаемо намаляване на разходите за енергия, със сравнително бърза възвръщаемост на вложените инвестиции, да се постигнат по-добри условия за живот и работа на българските граждани. </w:t>
      </w:r>
    </w:p>
    <w:p w14:paraId="335BBDA2" w14:textId="77777777" w:rsidR="00E045A5"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Нисковъглеродната икономика е съществен фактор, който ще допринесе за изпълнение на целта за намаляване на отделяните в атмосферата вредни вещества. В тази връзка, ще се предприемат действия за намаляване на отделяните токсични емисии от транспорта, селското стопанство и промишлеността. За целта ще се внедрят иновационни аспирационни и пречистващи системи, отговарящи на най-високите европейски изисквания за улавяне на повече от 90% на вредните газове, пари и прахови частици, отделящи се в процесите на производство на енергия, производството и преработката в металургията, в </w:t>
      </w:r>
      <w:r w:rsidRPr="00321A4C">
        <w:rPr>
          <w:rFonts w:ascii="Times New Roman" w:hAnsi="Times New Roman" w:cs="Times New Roman"/>
          <w:color w:val="000000"/>
          <w:sz w:val="24"/>
          <w:szCs w:val="24"/>
        </w:rPr>
        <w:lastRenderedPageBreak/>
        <w:t>процеса на добив и преработка на инертни материали /цимент, вар, асфалт, мрамор и др./, фармацевтичната промишленост, химическата промишленост /киселинни газове, сероводород, циановодород, хлороводородна киселина и др./, хранителната промишленост /азотен оксид, въглероден монооксид, формалдецид и т.н./. Могат също така да се прилагат технологии и иновативни продукти, които да варират от отделни промишлени преносими системи за временно аспириране на замърсителите до централизирани системи големи сектори и производства. Българската държава ще подкрепя внедряването в реално работеща среда иновации, допринасящи за спестяване на енергия и за намаляване на отделяните в атмосферата вредни твърди емисии /прахови частици/, с цел осигуряване на по-здравословни и по-безопасни условия за работа и живот на хората. Ще продължи проучването за внедряване и използване на електрохимични източници на енергия, като акумулаторни батерии, водородната енергия и горивните елементи.</w:t>
      </w:r>
    </w:p>
    <w:p w14:paraId="6186C5B8" w14:textId="77777777" w:rsidR="00BA0DDB" w:rsidRPr="00321A4C" w:rsidRDefault="00BA0DDB"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p>
    <w:p w14:paraId="0A5C03D5" w14:textId="77777777" w:rsidR="00E045A5" w:rsidRPr="00BA0DDB" w:rsidRDefault="00E045A5" w:rsidP="00321A4C">
      <w:pPr>
        <w:autoSpaceDE w:val="0"/>
        <w:autoSpaceDN w:val="0"/>
        <w:adjustRightInd w:val="0"/>
        <w:spacing w:after="0" w:line="276" w:lineRule="auto"/>
        <w:ind w:firstLine="709"/>
        <w:jc w:val="both"/>
        <w:rPr>
          <w:rFonts w:ascii="Times New Roman" w:hAnsi="Times New Roman" w:cs="Times New Roman"/>
          <w:sz w:val="24"/>
          <w:szCs w:val="24"/>
        </w:rPr>
      </w:pPr>
      <w:r w:rsidRPr="00BA0DDB">
        <w:rPr>
          <w:rFonts w:ascii="Times New Roman" w:hAnsi="Times New Roman" w:cs="Times New Roman"/>
          <w:i/>
          <w:iCs/>
          <w:sz w:val="24"/>
          <w:szCs w:val="24"/>
        </w:rPr>
        <w:t xml:space="preserve">ii. Когато е приложимо, сътрудничество с други държави членки в тази област, включително по целесъобразност информация как целите и политиките на Стратегическия план за енергийните технологии са приспособени към съответния национален контекст </w:t>
      </w:r>
    </w:p>
    <w:p w14:paraId="070BA9A5" w14:textId="77777777" w:rsidR="00E045A5"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Предвид значимостта на иновациите за бъдещото развитие на чиста и високоефективна енергетика, вниманието и усилията на българската страна са насочени към възможно реализиране на проекти за внедряване на иновации в областта на енергетиката, които ще се базират на Европейския стратегически план за енергийни технологии. Обсъждат се промени в цялостния модел на енергетиката, а именно навлизане на т. нар. „интелигентни енергийни мрежи”, съхранението на енергия, внедряване на високоефективни енергийни технологии и системи в икономиката и бита, с цел намаляване разходите за енергия на потребителите. Пасивното проектиране на зелена жизнена среда ще изисква нов цялостен подход, който ще включва намиране на баланс между ориентацията на сградите, остъкляването, вентилацията, както и осигуряване на високоефективни технологии, системи и материали за изолация. Внедряването на нови високоефективни енергийни технологии и системи от ново поколение за сградите и остъклените повърхности, ще доведе до значимо намаление на разходите за енергия от крайните клиенти, ще способства за решаване на предизвикателствата с декарбонизацията и ще подобри качеството на живот и условията за работа на хората. С цел стимулиране разходно-ефективното развитие на нисковъглеродните технологии в страната, българската държавата ще се възползва и от разработвания на европейско ниво SET план, който насърчава сътрудничеството в областта на иновациите в различните сектори и от Европейския иновационен фонд. </w:t>
      </w:r>
    </w:p>
    <w:p w14:paraId="6577D94F" w14:textId="77777777" w:rsidR="00BA0DDB" w:rsidRPr="00BA0DDB" w:rsidRDefault="00BA0DDB" w:rsidP="00321A4C">
      <w:pPr>
        <w:autoSpaceDE w:val="0"/>
        <w:autoSpaceDN w:val="0"/>
        <w:adjustRightInd w:val="0"/>
        <w:spacing w:after="0" w:line="276" w:lineRule="auto"/>
        <w:ind w:firstLine="709"/>
        <w:jc w:val="both"/>
        <w:rPr>
          <w:rFonts w:ascii="Times New Roman" w:hAnsi="Times New Roman" w:cs="Times New Roman"/>
          <w:sz w:val="24"/>
          <w:szCs w:val="24"/>
        </w:rPr>
      </w:pPr>
    </w:p>
    <w:p w14:paraId="41D898A5" w14:textId="77777777" w:rsidR="00E045A5" w:rsidRPr="00BA0DDB" w:rsidRDefault="00E045A5" w:rsidP="00321A4C">
      <w:pPr>
        <w:autoSpaceDE w:val="0"/>
        <w:autoSpaceDN w:val="0"/>
        <w:adjustRightInd w:val="0"/>
        <w:spacing w:after="0" w:line="276" w:lineRule="auto"/>
        <w:ind w:firstLine="709"/>
        <w:jc w:val="both"/>
        <w:rPr>
          <w:rFonts w:ascii="Times New Roman" w:hAnsi="Times New Roman" w:cs="Times New Roman"/>
          <w:sz w:val="24"/>
          <w:szCs w:val="24"/>
        </w:rPr>
      </w:pPr>
      <w:r w:rsidRPr="00BA0DDB">
        <w:rPr>
          <w:rFonts w:ascii="Times New Roman" w:hAnsi="Times New Roman" w:cs="Times New Roman"/>
          <w:i/>
          <w:iCs/>
          <w:sz w:val="24"/>
          <w:szCs w:val="24"/>
        </w:rPr>
        <w:t xml:space="preserve">iii. Когато е приложимо, финансови мерки в тази област на национално равнище, включително подкрепа от Съюза и използване на средства от фондовете на Съюза </w:t>
      </w:r>
    </w:p>
    <w:p w14:paraId="2D64CFD4" w14:textId="77777777" w:rsidR="006A1393" w:rsidRPr="00BA0DDB" w:rsidRDefault="00E045A5" w:rsidP="00321A4C">
      <w:pPr>
        <w:spacing w:after="0" w:line="276" w:lineRule="auto"/>
        <w:ind w:firstLine="709"/>
        <w:jc w:val="both"/>
        <w:rPr>
          <w:rFonts w:ascii="Times New Roman" w:hAnsi="Times New Roman" w:cs="Times New Roman"/>
          <w:sz w:val="24"/>
          <w:szCs w:val="24"/>
          <w:lang w:val="en-US"/>
        </w:rPr>
      </w:pPr>
      <w:r w:rsidRPr="00321A4C">
        <w:rPr>
          <w:rFonts w:ascii="Times New Roman" w:hAnsi="Times New Roman" w:cs="Times New Roman"/>
          <w:color w:val="000000"/>
          <w:sz w:val="24"/>
          <w:szCs w:val="24"/>
        </w:rPr>
        <w:lastRenderedPageBreak/>
        <w:t>По отношение на инвестиция „Програма за публична подкрепа за развитието на индустриални райони, паркове и подобни територии и за привличане на инвестиции ("AttractInvestBG")“ в рамките на 2023 г. предстои да бъде обявена процедура за предоставяне на средства на крайни получатели (индустриални паркове/зони). Безвъзмездното финансиране ще подпомага изграждането на техническа, екологична и иновативна инфраструктура. По отношение на изграждането на „Екологична инфраструктура“ се предвижда (в случай, че предприятията в парка/зоната имат необходимост от нея) да бъдат финансирани дейности за изграждане и присъединяване на новоизградени точки за зареждане, както и закупуване, доставка и монтаж на зарядни станции на слънчеви батерии за електромобили (с общ бюджет: 1 500 000 лв. или 766 938 евро).</w:t>
      </w:r>
    </w:p>
    <w:p w14:paraId="0F85C259"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BA0DDB">
        <w:rPr>
          <w:rFonts w:ascii="Times New Roman" w:hAnsi="Times New Roman" w:cs="Times New Roman"/>
          <w:sz w:val="24"/>
          <w:szCs w:val="24"/>
        </w:rPr>
        <w:t>По от</w:t>
      </w:r>
      <w:r w:rsidRPr="00321A4C">
        <w:rPr>
          <w:rFonts w:ascii="Times New Roman" w:hAnsi="Times New Roman" w:cs="Times New Roman"/>
          <w:color w:val="000000"/>
          <w:sz w:val="24"/>
          <w:szCs w:val="24"/>
        </w:rPr>
        <w:t xml:space="preserve">ношение на инвестиция Програма за икономическа трансформация от Компонент 3 „Интелигентна индустрия“ през 2023 г. бе обявена процедура за предоставяне на средства на крайни получатели BG-RRP-3.006 „Изграждане на нови ВЕИ за собствено потребление в комбинация с локални съоръжения за съхранение на енергия в предприятията”. Целта на процедурата е предоставяне на безвъзмездни средства за изграждане на възобновяеми енергийни източници (ВЕИ) за собствено потребление на предприятията, комбинирани с локални съоръжения за съхранение на енергия, с което да се насърчи прехода на частния сектор към екосъобразна дейност. Мярката е насочена единствено към слънчева фотоволтаична енергия и има като задължителен елемент придобиването на технологии и съоръжения за съхранение под формата на батерии, което допринася за баланса в произведената мощност и подпомага преодоляването на един от недостатъците на възобновяемите източници, а именно непостоянното производство. Бюджетът на процедурата е 200 000 000 лв. (102 258 376.24 евро). Предвид че процесът по кандидатстване все още не е приключил и отчитайки максималната продължителност на изпълнение на един проект (18 месеца), очакванията са реалното изпълнение на инвестициите да бъде завършено през 2024 и 2025 г. В резултат от изпълнението на процедурата ще бъде постигнато минимум 54 096 kW oперативен капацитет на инсталираните съоръжения за съхранение. </w:t>
      </w:r>
    </w:p>
    <w:p w14:paraId="197D8B01"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рамките на Компонент 6 „Устойчиво селско стопанство“, инвестиция C6.I1 „Фонд за насърчаване на технологичния и екологичен преход на селското стопанство на ПВУ“, са предвидени за изпълнение четири направления: </w:t>
      </w:r>
    </w:p>
    <w:p w14:paraId="004A6176"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1. „Инвестиции в технологична и екологична модернизация“; </w:t>
      </w:r>
    </w:p>
    <w:p w14:paraId="408992E8"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2. „Центрове за подготовка за предлагане на пазара и съхранение на плодове и зеленчуци“; </w:t>
      </w:r>
    </w:p>
    <w:p w14:paraId="78D59A1B"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3. „Инвестиции, свързани с ефективно използване на вода в земеделските стопанства“; </w:t>
      </w:r>
    </w:p>
    <w:p w14:paraId="35860581"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4. „Инвестиции за изграждане и оборудване на животновъдни обекти за отглеждане и преценка на мъжки разплодни животни“. </w:t>
      </w:r>
    </w:p>
    <w:p w14:paraId="718DFDE7"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lastRenderedPageBreak/>
        <w:t xml:space="preserve">На 26.09.2023 г., между Министерство на земеделието и храните и Министерство на финансите бе подписано Оперативно споразумение за изпълнение на Инвестиция C6.I1. по ПВУ. </w:t>
      </w:r>
    </w:p>
    <w:p w14:paraId="6F52712A"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След проведени две обществени обсъждания, на 28.09.2023 г. бе обявена първа процедура по инвестицията с номер BG-RRP-6.004 по направлението „Инвестиции в технологична и екологична модернизация“, с краен срок за кандидатстване 20.12.2023 г. </w:t>
      </w:r>
    </w:p>
    <w:p w14:paraId="48CC47FA" w14:textId="77777777" w:rsidR="00E045A5" w:rsidRPr="00321A4C" w:rsidRDefault="00E045A5" w:rsidP="00321A4C">
      <w:pPr>
        <w:pStyle w:val="Default"/>
        <w:spacing w:line="276" w:lineRule="auto"/>
        <w:ind w:firstLine="709"/>
        <w:jc w:val="both"/>
        <w:rPr>
          <w:lang w:val="bg-BG"/>
        </w:rPr>
      </w:pPr>
      <w:r w:rsidRPr="00321A4C">
        <w:t xml:space="preserve">Процедурата има за цел да предостави своевременна подкрепа на българските земеделски производители, под формата на безвъзмездни средства, за бързо възстановяване от последиците от COVID-19 пандемията, преодоляване на проблемите, които възпрепятстват конкурентоспособността и устойчивостта на </w:t>
      </w:r>
      <w:r w:rsidRPr="00321A4C">
        <w:rPr>
          <w:lang w:val="bg-BG"/>
        </w:rPr>
        <w:t xml:space="preserve">аграрния сектор и ускоряване на неговата адаптация към климатичните промени, екологизацията на производството, цифровата трансформация, подобряване на генетичните ресурси. </w:t>
      </w:r>
    </w:p>
    <w:p w14:paraId="5FF21510"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Фондът за насърчаване на технологичния и екологичен преход предвижда предоставяне на подкрепа на земеделските стопани за реализация на целеви инвестиции, за закупуване на материални и нематериални активи за прилагане на дейности, осигуряващи опазване на компонентите на околната среда и смекчаване на последиците от климатичните промени, въвеждащи иновативни производствени и цифрови технологии, технологии за производство и организация в селското стопанство, за автоматизиране на работните процеси. </w:t>
      </w:r>
    </w:p>
    <w:p w14:paraId="651EFF72"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На 24.10.2023 г. бе обявена втора процедура по инвестицията с номер BG-RRP-6.006 по направлението „Центрове за подготовка за предлагане на пазара и съхранение на плодове и зеленчуци“. Краен срок за кандидатстване по процедурата е 22.12.2023 г. </w:t>
      </w:r>
    </w:p>
    <w:p w14:paraId="713AA32F"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Основна цел на процедурата е да се подпомогне процеса на предлагане на пазара на селскостопанска продукция, попадаща в обхвата на сектор „Плодове и зеленчуци“, чрез финансиране на инвестиции, допринасящи за предлагането на продукти, чието качество, състояние и вид отговарят на потребностите на крайния потребител. По този начин, подкрепата ще предостави възможност за повишаване на конкурентоспособността на производителите на селскостопански продукти от сектор „Плодове и зеленчуци“, в т.ч. най-вече на тези земеделски стопанства, които са засегнати от последиците от пандемията SARS-CoV-2. Ще се стимулира създаването на къси вериги на доставка, модернизирането и автоматизирането на процесите по събиране, подготовка за пазара и съхранение на пресни плодове и зеленчуци. </w:t>
      </w:r>
    </w:p>
    <w:p w14:paraId="71933C0E"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Към момента не е стартирало изпълнението на направлението за „Инвестиции, свързани с ефективно използване на вода в земеделските стопанства“. Средствата по конкретното направление са с общ размер на публичния ресурс 119,7 млн. лева, в това число - 99,7 млн. лева от Механизма за възстановяване и устойчивост и 20 млн. лева за невъзстановим ДДС от държавния бюджет. По посоченото направление все още е в ход дискусия със службите на ЕК по отношение на част от нормативната рамка, свързана с неговото прилагане. </w:t>
      </w:r>
    </w:p>
    <w:p w14:paraId="3873DA33"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lastRenderedPageBreak/>
        <w:t xml:space="preserve">По отношение на четвъртото направление за „Инвестиции за изграждане и оборудване на животновъдни обекти за отглеждане и преценка на мъжки разплодни животни“, МЗХ е подготвило и изпратило до Министерство на финансите, съответно до службите на ЕК мотивирано искане за отпадане на неговото изпълнение и освобождаване на съответния бюджет от до 4,6 мил. лв. от Механизма за възстановяване и устойчивост и до 0.9 млн. лв. национално публично финансиране за невъзстановим данък, съгласно Закона за данъка върху добавената стойност (ЗДДС). Към днешна дата, подадените изменения са одобрени от ЕК, като в рамките на месец ноември се очаква същите да бъдат официално одобрени след решение на Съвета. </w:t>
      </w:r>
    </w:p>
    <w:p w14:paraId="4F86ACC5" w14:textId="77777777" w:rsidR="00E045A5" w:rsidRPr="00321A4C" w:rsidRDefault="00E045A5" w:rsidP="00BA0DDB">
      <w:pPr>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Съгласно Индикативната годишна работна програма за 2023 г. на програма „Конкурентоспособност и иновации в предприятията“ 2021-2027 (ПКИП) са планирани</w:t>
      </w:r>
      <w:r w:rsidR="00BA0DDB">
        <w:rPr>
          <w:rFonts w:ascii="Times New Roman" w:hAnsi="Times New Roman" w:cs="Times New Roman"/>
          <w:color w:val="000000"/>
          <w:sz w:val="24"/>
          <w:szCs w:val="24"/>
        </w:rPr>
        <w:t xml:space="preserve"> </w:t>
      </w:r>
      <w:r w:rsidRPr="00321A4C">
        <w:rPr>
          <w:rFonts w:ascii="Times New Roman" w:hAnsi="Times New Roman" w:cs="Times New Roman"/>
          <w:color w:val="000000"/>
          <w:sz w:val="24"/>
          <w:szCs w:val="24"/>
        </w:rPr>
        <w:t xml:space="preserve">две процедури в областта на НИРД и иновациите: процедура „Разработване на иновации в предприятията“ и процедура „Внедряване на иновации в предприятията“. Първата процедура е насочена към подкрепа за вътрешни за предприятието развойна дейност/иновации, а втората за въвеждане на иновации от страна на МСП като дейностите и по двете процедури следва да се изпълняват в тематичните области на Иновационната стратегия за интелигентна специализация 2021-2027 (ИСИС). Една от областите на ИСИС е „Чисти технологии, кръгова и нисковъглеродна икономика“ като в рамките на двете процедури за осъществяване на дейности в тази област са заделени общо 146 687 250 лв. </w:t>
      </w:r>
    </w:p>
    <w:p w14:paraId="7C9EDE06"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Индикативната годишна работна програма за 2023 г. на Програма „Научни изследвания, иновации и дигитализация за интелигентна трансформация“ 2021-2027 г. (ПНИИДИТ) е планирана процедура за допълващо финансиране за подкрепа участието на България в европейското партньорство „Чист водород“ за одобрен от Европейската комисия проект за изграждане на водородна долина. Процедурата е насочена към осъществяването на синергиен подход с програма „Хоризонт Европа“ и подкрепа на иновативни технологии за регионална трансформация към зелена и цифрова икономика, както и изграждане на дългосрочно партньорство между бизнеса, науката и всички заинтересовани страни на регионално ниво. Общата сума на бюджета на проекта от страна на ПНИИДИТ е 16 000 000 лв. </w:t>
      </w:r>
    </w:p>
    <w:p w14:paraId="75B891EC"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По отношение на процедури за предоставяне на безвъзмездна финансова помощ BG16RFOP002-3.001 „Енергийна ефективност за малките и средни предприятия“ и BG16RFOP002-3.002 „Повишаване на енергийната ефективност в големи предприятия“ всички подкрепени проекти са приключили изпълнението си в периода 2017 г. - 2020 г. като само един проект все още е в процес на изпълнение и се очаква да приключи през 2023 г. </w:t>
      </w:r>
    </w:p>
    <w:p w14:paraId="44C313C7" w14:textId="77777777" w:rsidR="00E045A5" w:rsidRPr="00321A4C" w:rsidRDefault="00E045A5" w:rsidP="00321A4C">
      <w:pPr>
        <w:spacing w:after="0" w:line="276" w:lineRule="auto"/>
        <w:ind w:firstLine="709"/>
        <w:jc w:val="both"/>
        <w:rPr>
          <w:rFonts w:ascii="Times New Roman" w:hAnsi="Times New Roman" w:cs="Times New Roman"/>
          <w:color w:val="FF0000"/>
          <w:sz w:val="24"/>
          <w:szCs w:val="24"/>
          <w:lang w:val="en-US"/>
        </w:rPr>
      </w:pPr>
      <w:r w:rsidRPr="00321A4C">
        <w:rPr>
          <w:rFonts w:ascii="Times New Roman" w:hAnsi="Times New Roman" w:cs="Times New Roman"/>
          <w:color w:val="000000"/>
          <w:sz w:val="24"/>
          <w:szCs w:val="24"/>
        </w:rPr>
        <w:t xml:space="preserve">По линия на инструмента REACT-EU по Приоритетна ос 6 Възстановяване на МСП по ОПИК 2014-2020, в изпълнение е процедура за БФП BG16RFOP002-6.002 „Възстановяване на МСП чрез подобряване на енергийната ефективност“, обявена през Април 2022 г. По процедурата е предоставена подкрепа на МСП за възстановяване от икономическите последици от разпространението на пандемията COVID-19 чрез подобряване на енергийната им ефективност. Целта на процедурата е предоставянето на </w:t>
      </w:r>
      <w:r w:rsidRPr="00321A4C">
        <w:rPr>
          <w:rFonts w:ascii="Times New Roman" w:hAnsi="Times New Roman" w:cs="Times New Roman"/>
          <w:color w:val="000000"/>
          <w:sz w:val="24"/>
          <w:szCs w:val="24"/>
        </w:rPr>
        <w:lastRenderedPageBreak/>
        <w:t xml:space="preserve">фокусирана подкрепа на българските МСП за възстановяване от икономическите последици от разпространението на пандемията COVID-19 чрез подобряване на енергийната им ефективност. По процедурата са сключени 842 договора, с обща стойност на безвъзмездната финансова помощ от 83 586 313.55 лв. От тях към февруари 2023 г. успешно са приключили 16 договора с обща стойност на безвъзмездната финансова помощ от 1 426 176.69 лв. В обхватът на подкрепяните дейности попадат различни видове ененргийно-ефективно оборудване като котли, горелки, лъчисто отопление, термопомпи, слънчеви системи, рекуператори, чилъри, помпи, енергийно-ефективни изолационни системи в сгради, автоматизирани системи за мониторинг на енергопотреблението и др. </w:t>
      </w:r>
    </w:p>
    <w:p w14:paraId="0ADA9BAD"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По отношение на изграждане на допълнителни възможности за свързване на националната ни газопреносна мрежа с тези на други държави е изпълнен проект, който свързва директно националните газопреносни мрежи на Република Гърция и Република България. В рамките на ОПИК 2014-2020 е изпълнен проект № BG16RFOP002-4.002-0001-С01 „Изграждане на междусистемна газова връзка Гърция – България“ с бенефициент: „Ай Си Джи Би“ АД. Общия бюджет на проекта е 559 292 262.64 лв., от които БФП 76 277 370 лв. (39 000 000 евро). Проектът е приключен на 21.12.2022 г. като в резултат от неговото изпълнение е изграден газопровод с входна точка в района на град Комотини (Гърция), а изходна точка - в района на град Стара Загора (България). Общата дължина е 182 км, от които 31.6 км са разположени на територията на Гърция и 150.9 км на територията на България. 29.6 км от газопровода на територията на България са изградени със средства от ОПИК 2014-2020. Интерконекторът е въведен в търговска експлоатация. </w:t>
      </w:r>
    </w:p>
    <w:p w14:paraId="7F930247"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Стратегическият документ, който създава базовите условия за използване на средства по европейски програми в областта на научните изследвания, иновациите и конкурентоспособността, е Иновационната стратегия за интелигентна специализация 2021-2027 г. (ИСИС 2021-2027). Стратегията е тематичното отключващо условие към специфични цели за иновации и умения в рамките на Цел на политиката 1 “По-конкурентоспособна и по-интелигентна Европа чрез насърчаване на иновативна и интелигентна икономическа трансформация и регионална свързаност на ИКТ” за средствата от Европейския фонд за регионално развитие, Европейския социален фонд+ и Кохезионния фонд за програмния период 2021-2027 г. Стратегията адекватно отразява въвеждането на водородните технологии и е действа като базисен програмен документ за определяне на целия комплекс от мерки за финансиране на иновации в програмния период 2021-2027 г. </w:t>
      </w:r>
    </w:p>
    <w:p w14:paraId="45CB541B"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Иновационната стратегия за интелигентна специализация на Република България е стратегическа рамка за устойчиво развитие, базирано на научни изследвания и иновации, на териториалния капацитет и амбиции на регионите и на широкото участие на заинтересованите страни. Стратегията има водеща роля за укрепването на регионалните иновационни екосистеми, за да могат те да поддържат и стимулират икономическия растеж. ИСИС 2021-2027 г. дефинира пет тематични области в които България разполага с </w:t>
      </w:r>
      <w:r w:rsidRPr="00321A4C">
        <w:rPr>
          <w:rFonts w:ascii="Times New Roman" w:hAnsi="Times New Roman" w:cs="Times New Roman"/>
          <w:color w:val="000000"/>
          <w:sz w:val="24"/>
          <w:szCs w:val="24"/>
        </w:rPr>
        <w:lastRenderedPageBreak/>
        <w:t xml:space="preserve">конкурентно предимство и капацитет за интелигентна специализация и следва да насочи своите усилия към тяхното ускорено развитие. </w:t>
      </w:r>
    </w:p>
    <w:p w14:paraId="24666275"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Тематичните области на ИСИС 2021-2027 са: </w:t>
      </w:r>
    </w:p>
    <w:p w14:paraId="06DBE365"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i/>
          <w:iCs/>
          <w:color w:val="000000"/>
          <w:sz w:val="24"/>
          <w:szCs w:val="24"/>
        </w:rPr>
        <w:t xml:space="preserve">1. Тематична област “Информатика и ИКТ”; </w:t>
      </w:r>
    </w:p>
    <w:p w14:paraId="3CAF58B5"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i/>
          <w:iCs/>
          <w:color w:val="000000"/>
          <w:sz w:val="24"/>
          <w:szCs w:val="24"/>
        </w:rPr>
        <w:t xml:space="preserve">2. Тематична област “Мехатроника и микроелектроника”; </w:t>
      </w:r>
    </w:p>
    <w:p w14:paraId="2DEAE861"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i/>
          <w:iCs/>
          <w:color w:val="000000"/>
          <w:sz w:val="24"/>
          <w:szCs w:val="24"/>
        </w:rPr>
        <w:t xml:space="preserve">3. Тематична област “Индустрии за здравословен живот, биоикономика и биотехнологии”; </w:t>
      </w:r>
    </w:p>
    <w:p w14:paraId="27E195CD"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i/>
          <w:iCs/>
          <w:color w:val="000000"/>
          <w:sz w:val="24"/>
          <w:szCs w:val="24"/>
        </w:rPr>
        <w:t xml:space="preserve">4. Тематична област “Нови технологии в креативни и рекреативни индустрии”; </w:t>
      </w:r>
    </w:p>
    <w:p w14:paraId="143C94AB"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i/>
          <w:iCs/>
          <w:color w:val="000000"/>
          <w:sz w:val="24"/>
          <w:szCs w:val="24"/>
        </w:rPr>
        <w:t xml:space="preserve">5. Тематична област “Чисти технологии, кръгова и нисковъглеродна икономика”. </w:t>
      </w:r>
    </w:p>
    <w:p w14:paraId="73202AA0"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Националната пътна карта за подобряване на условията за разгръщане на потенциала за развитие на водородните технологии и механизмите за производство и доставка на водород, определя пътя за изграждане на водородна индустрия. Целта на Пътната карта е да се създаде база за съгласувана рамка за ефективно, плавно и последователно въвеждане на технологии за производство, транспортиране и използване на водород в индустрията, енергетиката, транспорта и бита, за създаване на благоприятни условия за иновации и инвестиции. Ще бъдат определени секторите и етапите за осигуряване на максимален ефект върху ангажиментите за климатично неутрална икономика, за създаване на нови вериги на стойността по отношение на водорода, за засилване на партньорството на национално, регионално и европейско ниво. В рамките на Пътната карта са разгледани измененията в законодателните разпоредби, които са предприети, планирани или следва да бъдат изготвени от страна на компетентните институции и с които да се премахнат ключовите пречки пред развитието на водородните технологии. Документът включва прилагането на мерки, необходими за развитието на цялата верига на стойност на зеления водород. </w:t>
      </w:r>
    </w:p>
    <w:p w14:paraId="34103968"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ИСИС 2021 – 2027, в рамките на тематична област „Чисти технологии, кръгова и нисковъглеродна икономика", приоритетни са следните подобласти: </w:t>
      </w:r>
    </w:p>
    <w:p w14:paraId="6D77193B" w14:textId="77777777" w:rsidR="00E045A5" w:rsidRPr="00BA0DDB" w:rsidRDefault="00E045A5" w:rsidP="004F15F5">
      <w:pPr>
        <w:pStyle w:val="ListParagraph"/>
        <w:numPr>
          <w:ilvl w:val="0"/>
          <w:numId w:val="60"/>
        </w:numPr>
        <w:autoSpaceDE w:val="0"/>
        <w:autoSpaceDN w:val="0"/>
        <w:adjustRightInd w:val="0"/>
        <w:spacing w:after="0" w:line="276" w:lineRule="auto"/>
        <w:ind w:left="1080"/>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t xml:space="preserve">Иновации в областта на производството, съхранение, спестяване, ефективно разпределение и потребление на енергия, вкл. от различни възобновяеми енергийни източници; </w:t>
      </w:r>
    </w:p>
    <w:p w14:paraId="0D0FCD18" w14:textId="77777777" w:rsidR="00E045A5" w:rsidRPr="00BA0DDB" w:rsidRDefault="00E045A5" w:rsidP="004F15F5">
      <w:pPr>
        <w:pStyle w:val="ListParagraph"/>
        <w:numPr>
          <w:ilvl w:val="0"/>
          <w:numId w:val="60"/>
        </w:numPr>
        <w:autoSpaceDE w:val="0"/>
        <w:autoSpaceDN w:val="0"/>
        <w:adjustRightInd w:val="0"/>
        <w:spacing w:after="0" w:line="276" w:lineRule="auto"/>
        <w:ind w:left="1080"/>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t xml:space="preserve">Създаване на съвременни информационни комплекси за автономни енергийни системи; </w:t>
      </w:r>
    </w:p>
    <w:p w14:paraId="323BD17C" w14:textId="77777777" w:rsidR="00E045A5" w:rsidRPr="00BA0DDB" w:rsidRDefault="00E045A5" w:rsidP="004F15F5">
      <w:pPr>
        <w:pStyle w:val="ListParagraph"/>
        <w:numPr>
          <w:ilvl w:val="0"/>
          <w:numId w:val="60"/>
        </w:numPr>
        <w:autoSpaceDE w:val="0"/>
        <w:autoSpaceDN w:val="0"/>
        <w:adjustRightInd w:val="0"/>
        <w:spacing w:after="0" w:line="276" w:lineRule="auto"/>
        <w:ind w:left="1080"/>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t xml:space="preserve">Водород - базирани технологии: производство на водород с акцент върху зеления водород, съхранение, транспорт и използване на водорода в индустрията, енергетиката, транспорта и бита; </w:t>
      </w:r>
    </w:p>
    <w:p w14:paraId="3BE04BA1" w14:textId="77777777" w:rsidR="00E045A5" w:rsidRPr="00BA0DDB" w:rsidRDefault="00E045A5" w:rsidP="004F15F5">
      <w:pPr>
        <w:pStyle w:val="ListParagraph"/>
        <w:numPr>
          <w:ilvl w:val="0"/>
          <w:numId w:val="60"/>
        </w:numPr>
        <w:autoSpaceDE w:val="0"/>
        <w:autoSpaceDN w:val="0"/>
        <w:adjustRightInd w:val="0"/>
        <w:spacing w:after="0" w:line="276" w:lineRule="auto"/>
        <w:ind w:left="1080"/>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t xml:space="preserve">Разработване и внедряване на технологии свързани с устойчивата мобилност (батерийна и водородна), базирана на водород и други алтернативни горива, свързана инфраструктура и еко-мобилността; </w:t>
      </w:r>
    </w:p>
    <w:p w14:paraId="26C22134" w14:textId="77777777" w:rsidR="00E045A5" w:rsidRPr="00BA0DDB" w:rsidRDefault="00E045A5" w:rsidP="004F15F5">
      <w:pPr>
        <w:pStyle w:val="ListParagraph"/>
        <w:numPr>
          <w:ilvl w:val="0"/>
          <w:numId w:val="60"/>
        </w:numPr>
        <w:autoSpaceDE w:val="0"/>
        <w:autoSpaceDN w:val="0"/>
        <w:adjustRightInd w:val="0"/>
        <w:spacing w:after="0" w:line="276" w:lineRule="auto"/>
        <w:ind w:left="1080"/>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t xml:space="preserve">Технологии за ефективно използване на ресурсите, за намаляване съдържанието на опасни вещества, за използване на алтернативни суровини и материали, за удължаване живота на продуктите и използването им в други производства; </w:t>
      </w:r>
    </w:p>
    <w:p w14:paraId="008086D6" w14:textId="77777777" w:rsidR="00E045A5" w:rsidRPr="00BA0DDB" w:rsidRDefault="00E045A5" w:rsidP="004F15F5">
      <w:pPr>
        <w:pStyle w:val="ListParagraph"/>
        <w:numPr>
          <w:ilvl w:val="0"/>
          <w:numId w:val="60"/>
        </w:numPr>
        <w:autoSpaceDE w:val="0"/>
        <w:autoSpaceDN w:val="0"/>
        <w:adjustRightInd w:val="0"/>
        <w:spacing w:after="0" w:line="276" w:lineRule="auto"/>
        <w:ind w:left="1080"/>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lastRenderedPageBreak/>
        <w:t xml:space="preserve">Безотпадни технологии и методи за включване на отпадъчни продукти и материали от производства в други производства; </w:t>
      </w:r>
    </w:p>
    <w:p w14:paraId="5DC16308" w14:textId="77777777" w:rsidR="00E045A5" w:rsidRPr="00BA0DDB" w:rsidRDefault="00E045A5" w:rsidP="004F15F5">
      <w:pPr>
        <w:pStyle w:val="ListParagraph"/>
        <w:numPr>
          <w:ilvl w:val="0"/>
          <w:numId w:val="60"/>
        </w:numPr>
        <w:autoSpaceDE w:val="0"/>
        <w:autoSpaceDN w:val="0"/>
        <w:adjustRightInd w:val="0"/>
        <w:spacing w:after="0" w:line="276" w:lineRule="auto"/>
        <w:ind w:left="1080"/>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t xml:space="preserve">Улавяне и оползотворяване на СО2 от атмосферата; </w:t>
      </w:r>
    </w:p>
    <w:p w14:paraId="5F0118F3" w14:textId="77777777" w:rsidR="00E045A5" w:rsidRPr="00BA0DDB" w:rsidRDefault="00E045A5" w:rsidP="004F15F5">
      <w:pPr>
        <w:pStyle w:val="ListParagraph"/>
        <w:numPr>
          <w:ilvl w:val="0"/>
          <w:numId w:val="60"/>
        </w:numPr>
        <w:autoSpaceDE w:val="0"/>
        <w:autoSpaceDN w:val="0"/>
        <w:adjustRightInd w:val="0"/>
        <w:spacing w:after="0" w:line="276" w:lineRule="auto"/>
        <w:ind w:left="1080"/>
        <w:jc w:val="both"/>
        <w:rPr>
          <w:rFonts w:ascii="Times New Roman" w:hAnsi="Times New Roman" w:cs="Times New Roman"/>
          <w:color w:val="000000"/>
          <w:sz w:val="24"/>
          <w:szCs w:val="24"/>
        </w:rPr>
      </w:pPr>
      <w:r w:rsidRPr="00BA0DDB">
        <w:rPr>
          <w:rFonts w:ascii="Times New Roman" w:hAnsi="Times New Roman" w:cs="Times New Roman"/>
          <w:color w:val="000000"/>
          <w:sz w:val="24"/>
          <w:szCs w:val="24"/>
        </w:rPr>
        <w:t xml:space="preserve">Разработване на дигитални решения за прилагане на подходи, свързани с кръговата икономика. </w:t>
      </w:r>
    </w:p>
    <w:p w14:paraId="48270EEC"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Тематична област Чисти технологии, кръгова и нисковъглеродна икономика ще бъде приоритетна област на интелигентна специализация във всички 28 области на страната на ниво NUTs III. </w:t>
      </w:r>
    </w:p>
    <w:p w14:paraId="1D745C1D"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рамките на Приоритетно направление 3 „Трансфер на технологии и знания“ от Приоритет 1 „Устойчиво развитие на българската научно-изследователска и иновационна екосистема“ на ПНИИДИТ е предвидена процедура „Допълващо финансиране за подкрепа участието на България в европейско партньорство „Чист водород“ за изграждане на водородна долина“ на територията на община Стара Загора по проектно предложение „Загора, устойчив водороден регион“ (ZAgora sustainable HYdrogen Region – ZAHYR). Проектът има за цел изграждане на дългосрочно партньорство между бизнеса и науката, както и с всички регионални заинтересовани страни. </w:t>
      </w:r>
    </w:p>
    <w:p w14:paraId="13FE78FD"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рамките на същото направление е предвидена мярка за развитието на Зелени и цифрови партньорства за интелигентна трансформация. Мярката е насочена към стратегически проекти за решаването на конкретен проблем за бизнес партньор или за трансфер на знания и опит към бизнес партньор, чрез които да се създадат условия за устойчиви решения чрез предоставяне на зелени и/или цифрови услуги, създаване на пазарно предимство чрез въвеждането/разработването на „зелени и цифрови“ решения и екоиновации. </w:t>
      </w:r>
    </w:p>
    <w:p w14:paraId="24743B15" w14:textId="3802450F"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рамките на </w:t>
      </w:r>
      <w:bookmarkStart w:id="15" w:name="_Hlk202862632"/>
      <w:r w:rsidRPr="00321A4C">
        <w:rPr>
          <w:rFonts w:ascii="Times New Roman" w:hAnsi="Times New Roman" w:cs="Times New Roman"/>
          <w:color w:val="000000"/>
          <w:sz w:val="24"/>
          <w:szCs w:val="24"/>
        </w:rPr>
        <w:t xml:space="preserve">Програма за икономическа трансформация </w:t>
      </w:r>
      <w:bookmarkEnd w:id="15"/>
      <w:r w:rsidRPr="00321A4C">
        <w:rPr>
          <w:rFonts w:ascii="Times New Roman" w:hAnsi="Times New Roman" w:cs="Times New Roman"/>
          <w:color w:val="000000"/>
          <w:sz w:val="24"/>
          <w:szCs w:val="24"/>
        </w:rPr>
        <w:t>към Националния план за възстановяване и устойчивост</w:t>
      </w:r>
      <w:r w:rsidR="00C27E31">
        <w:rPr>
          <w:rFonts w:ascii="Times New Roman" w:hAnsi="Times New Roman" w:cs="Times New Roman"/>
          <w:color w:val="000000"/>
          <w:sz w:val="24"/>
          <w:szCs w:val="24"/>
        </w:rPr>
        <w:t xml:space="preserve"> </w:t>
      </w:r>
      <w:r w:rsidRPr="00321A4C">
        <w:rPr>
          <w:rFonts w:ascii="Times New Roman" w:hAnsi="Times New Roman" w:cs="Times New Roman"/>
          <w:color w:val="000000"/>
          <w:sz w:val="24"/>
          <w:szCs w:val="24"/>
        </w:rPr>
        <w:t xml:space="preserve">в процес на изпълнение е процедура за предоставяне на БФП BG-RRP-3.004 „Технологична модернизация“. По процедурата е предвидено придобиване на нови технологии с акцент върху цифровизацията на производствените процеси с оглед на разширяване на производствения капацитет и/или разнообразяване на предлаганите продукти/услуги от предприятията. </w:t>
      </w:r>
    </w:p>
    <w:p w14:paraId="1A0B5ED0" w14:textId="54C8C763"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рамките на ПИТ по НПВУ е предвидено изпълнението на дялови </w:t>
      </w:r>
      <w:bookmarkStart w:id="16" w:name="_Hlk202862655"/>
      <w:r w:rsidRPr="00321A4C">
        <w:rPr>
          <w:rFonts w:ascii="Times New Roman" w:hAnsi="Times New Roman" w:cs="Times New Roman"/>
          <w:color w:val="000000"/>
          <w:sz w:val="24"/>
          <w:szCs w:val="24"/>
        </w:rPr>
        <w:t>финансови инструменти</w:t>
      </w:r>
      <w:bookmarkEnd w:id="16"/>
      <w:r w:rsidRPr="00321A4C">
        <w:rPr>
          <w:rFonts w:ascii="Times New Roman" w:hAnsi="Times New Roman" w:cs="Times New Roman"/>
          <w:color w:val="000000"/>
          <w:sz w:val="24"/>
          <w:szCs w:val="24"/>
        </w:rPr>
        <w:t xml:space="preserve"> за иновации, чиято цел е да се повиши иновационният капацитет на предприятията, да се ускори подобряването на продуктивността им и прехода към икономика на знанието, с което да се подобри настоящата позиция на България като скромен иноватор в ЕС (European Innovation Scoreboard 2020). Понастоящем ФИ е в процес на структуриране. </w:t>
      </w:r>
    </w:p>
    <w:p w14:paraId="4140FE4C" w14:textId="77777777" w:rsidR="00E045A5" w:rsidRPr="00321A4C" w:rsidRDefault="00E045A5" w:rsidP="00BA0DDB">
      <w:pPr>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По Програма „Конкурентоспособност и иновации в предприятията“ 2021-2027 (ПКИП) са предвидени мерки за подкрепа за разработване и внедряване на иновации от страна на предприятията в тематичните области на ИСИС 2021-2027, вкл. в област „Чисти технологии, кръгова и нисковъглеродна икономика“. До края на 2023 г.</w:t>
      </w:r>
      <w:r w:rsidR="00BA0DDB">
        <w:rPr>
          <w:rFonts w:ascii="Times New Roman" w:hAnsi="Times New Roman" w:cs="Times New Roman"/>
          <w:color w:val="000000"/>
          <w:sz w:val="24"/>
          <w:szCs w:val="24"/>
        </w:rPr>
        <w:t xml:space="preserve"> </w:t>
      </w:r>
      <w:r w:rsidRPr="00321A4C">
        <w:rPr>
          <w:rFonts w:ascii="Times New Roman" w:hAnsi="Times New Roman" w:cs="Times New Roman"/>
          <w:color w:val="000000"/>
          <w:sz w:val="24"/>
          <w:szCs w:val="24"/>
        </w:rPr>
        <w:t xml:space="preserve">предстои </w:t>
      </w:r>
      <w:r w:rsidRPr="00321A4C">
        <w:rPr>
          <w:rFonts w:ascii="Times New Roman" w:hAnsi="Times New Roman" w:cs="Times New Roman"/>
          <w:color w:val="000000"/>
          <w:sz w:val="24"/>
          <w:szCs w:val="24"/>
        </w:rPr>
        <w:lastRenderedPageBreak/>
        <w:t xml:space="preserve">обявяването на първите две процедури за предоставяне на БФП в областта, съответно за разработване и за внедряване на иновации в предприятията. Предвидена е и подкрепа чрез финансови инструменти за инвестиции в рисков капитал за създаване на нови и развитие на иновативни предприятия, като приоритетно ще бъдат подкрепяни предприятия с основна дейност във високотехнологичните или средно-високо технологичните сектори на преработващата промишленост и интензивните на знание услуги, които не са свързани с трансфер на технологии. </w:t>
      </w:r>
    </w:p>
    <w:p w14:paraId="75686DF1"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По Приоритетна ос 6 Възстановяване на МСП по ОПИК 2014-2020, в изпълнение е процедура за БФП BG16RFOP002-6.002 „Възстановяване на МСП чрез подобряване на енергийната ефективност“, обявена през Април 2022 г. По процедурата е предоставена подкрепа на МСП за възстановяване от икономическите последици от разпространението на пандемията COVID-19 чрез подобряване на енергийната им ефективност. </w:t>
      </w:r>
    </w:p>
    <w:p w14:paraId="424EA991"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рамките на ПИТ към НПВУ е обявена процедура за БФП BG-RRP-3.008 „Подкрепа за прехода към кръгова икономика в предприятията”, чиято цел е да допринесе за ускоряване на прехода към кръгова икономика чрез предоставянето на безвъзмездни средства на предприятията от производствения сектор за въвеждане на кръгови модели за използване на ресурсите и внедряване на неутрални по отношение на климата методи и технологии за производство и потребление на продуктите от дейността им. </w:t>
      </w:r>
    </w:p>
    <w:p w14:paraId="5ECBF29F"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рамките на същата програма по НПВУ в процес на структуриране е гаранционен ФИ за енергийна ефективност и възобновяема енергия, чиято цел е да отговори на предизвикателствата пред България при предоставянето на подкрепа за инвестиции в енергийната ефективност и енергията от възобновяеми източници. Гаранционният инструмент е предназначен за МСП, малките дружества със средна пазарна капитализация и физическите лица. </w:t>
      </w:r>
    </w:p>
    <w:p w14:paraId="51279A86"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По ПКИП, Приоритет 2 „Кръгова икономика“, СЦ 2.1 Насърчаване на енергийната ефективност и намаляване на емисиите парникови газове е предвидена подкрепа за дейности, насочени към мерки за енергийна ефективност в предприятията, вкл. въвеждане и сертифициране на системи за енергиен мениджмънт, както и системи за мониторинг и контрол на енергопотреблението. Предприятията ще бъдат стимулирани да ползват електрическа, топлинна и охлаждаща енергия от възобновяеми източници за собствено потребление. </w:t>
      </w:r>
    </w:p>
    <w:p w14:paraId="775FDB92"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Подкрепата ще се осъществи посредством комбинирано финансиране между дългови ФИ и БФП. </w:t>
      </w:r>
    </w:p>
    <w:p w14:paraId="33776886" w14:textId="77777777" w:rsidR="00E045A5" w:rsidRPr="00321A4C" w:rsidRDefault="00E045A5" w:rsidP="00465BED">
      <w:pPr>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В рамките на същия приоритет на ПКИП, СЦ 2.6 Насърчаване на прехода към кръгова и основаваща се на ефективното използване на ресурсите икономика e предвидена подкрепа за въвеждане на по-екологични практики в производствата, като ще се насърчават дейности в областта на проектирането на продуктите, производствените процеси и управлението на отпадъци. Ще се стимулира създаването на партньорства</w:t>
      </w:r>
      <w:r w:rsidR="00465BED">
        <w:rPr>
          <w:rFonts w:ascii="Times New Roman" w:hAnsi="Times New Roman" w:cs="Times New Roman"/>
          <w:color w:val="000000"/>
          <w:sz w:val="24"/>
          <w:szCs w:val="24"/>
        </w:rPr>
        <w:t xml:space="preserve"> </w:t>
      </w:r>
      <w:r w:rsidRPr="00321A4C">
        <w:rPr>
          <w:rFonts w:ascii="Times New Roman" w:hAnsi="Times New Roman" w:cs="Times New Roman"/>
          <w:color w:val="000000"/>
          <w:sz w:val="24"/>
          <w:szCs w:val="24"/>
        </w:rPr>
        <w:t xml:space="preserve">между предприятия за постигане на промишлена симбиоза и създаване на браншови платформи за обмен на добри практики. </w:t>
      </w:r>
    </w:p>
    <w:p w14:paraId="06F1B985"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lastRenderedPageBreak/>
        <w:t xml:space="preserve">В рамките на ПИТ в изпълнение на НПВУ през Февруари 2023 г. е обявена процедура за БФП BG-RRP-3.006 „Изграждане на нови ВЕИ за собствено потребление в комбинация с локални съоръжения за съхранение на енергия в предприятията”. Целта на процедурата е предоставяне на безвъзмездни средства за изграждане на възобновяеми енергийни източници (ВЕИ) за собствено потребление, комбинирани с локални съоръжения за съхранение на енергия (батерии), с което да се насърчи прехода на частния сектор към екосъобразна дейност. </w:t>
      </w:r>
    </w:p>
    <w:p w14:paraId="0266D8D2"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В рамките на Приоритет 1 „Устойчиво развитие на българската научно-изследователска и иновационна екосистема“, Специфична цел: 1.1. „Развитие и засилване на капацитета за научни изследвания и иновации и на внедряването на модерни технологии“, Приоритетно направление З: „Трансфер на технологии и знания“ на ПНИИДИТ се предвижда използването на финансови инструменти, с което да се увеличи размерът на инвестициите чрез прилагане на нови модели на финансиране в областта на научните изследвания и иновациите. Въпреки, че подкрепата не е целенасочено ориентирана към иновативни производства с висока добавена стойност, се предвижда подкрепа чрез ФИ за трансфер на знания и технологии, активна комерсиализация на резултатите от научни изследвания, интелектуалната собственост и нейното управление като основен инструмент за трансфер на знания и генериране на приходи. Фондът за технологичен трансфер ще осигури подкрепа за спин-оф компании, стартиращи високотехнологични предприятия и предприятия, базирани на знанието като част от индустриални старт-ъп системи, превръщане на научни разработки в пазарно приложими продукти и технологии, комерсиализация и управление на интелектуална собственост. Ще се стимулира и процеса на разгръщане и акселерация на стартиращи компании около развити индустрии и клъстери, за високоефективно споделяне на ползите в областта на научните изследвания иновациите и в полза на икономическото развитие на дадения сектор и регионите в страната. </w:t>
      </w:r>
    </w:p>
    <w:p w14:paraId="3E9897ED"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По ПКИП 2021-2027, Приоритет 1 „Иновации и растеж“, СЦ 1.3 Засилване на устойчивия растеж и конкурентоспособността на МСП и създаване на работни места в МСП, вкл. чрез продуктивни инвестиции е предвидена подкрепа за насърчаване на предприемаческата активност, чрез дялови ФИ, т.нар. семейство Фондове „Предприемачество“. Фондовете ща предоставят инвестиции за стартиращи и съществуващи предприятия във всички етапи на развитието им, в зависимост от потенциала им за растеж и съобразно нуждите на пазара и недостига на финансиране. </w:t>
      </w:r>
    </w:p>
    <w:p w14:paraId="7F093C4F" w14:textId="77777777" w:rsidR="00E045A5" w:rsidRPr="00321A4C" w:rsidRDefault="00E045A5" w:rsidP="00321A4C">
      <w:pPr>
        <w:pStyle w:val="Default"/>
        <w:spacing w:line="276" w:lineRule="auto"/>
        <w:ind w:firstLine="709"/>
        <w:jc w:val="both"/>
        <w:rPr>
          <w:lang w:val="bg-BG"/>
        </w:rPr>
      </w:pPr>
      <w:r w:rsidRPr="00321A4C">
        <w:t>Към настоящия момент съвместно с Министерство на образованието и науката се разработва нов Закон за насърчаване на научните изследвания и иновациите. В контекста на изпълнението на политиката за развитие на иновациите Министерството на иновациите и растежа в партньорство с Министерството на образованието и науката подготвят нов Закон за насърчаване на научните изследвания и иновациите, който ще награди съществуващата законодателна рамка с аспекти на публично-</w:t>
      </w:r>
      <w:r w:rsidRPr="00321A4C">
        <w:rPr>
          <w:lang w:val="bg-BG"/>
        </w:rPr>
        <w:t xml:space="preserve">правните отношения между участниците в научноизследователската и иновационната екосистема в страната, така че да </w:t>
      </w:r>
      <w:r w:rsidRPr="00321A4C">
        <w:rPr>
          <w:lang w:val="bg-BG"/>
        </w:rPr>
        <w:lastRenderedPageBreak/>
        <w:t xml:space="preserve">се създадат условия за реализиране на пълния им потенциал и да се увеличи икономическият и социалният ефект от инвестициите в научни изследвания и иновации. Законът ще определи органите и реда за формиране на националната политика за насърчаване на научните изследвания и иновациите, ще регламентира ролята на всяка от институциите, участващи в процеса на създаване, изпълнение, наблюдение и оценка на политиката, ще посочи начините за финансиране на политиката. По отношение на политиката за трансфер на технологии законът ще определи принципите и правилата, които ще регламентират финансирането на трансфера на технологии, ролята на институциите, участващи в процеса на изготвяне, изпълнение, наблюдение и оценка на политиката за трансфер на технологии. Законът ще определи принципите и правилата, които ще регулират финансирането на трансфера на технологии, ролята на институциите, участващи в подготовката, изпълнението, мониторинга и оценката на политиката за трансфер на технологии. Изготвянето на новия ЗННИИ е в съответствие с усилията за подобряване на политиката в областта на иновациите, започнати с новосъздаденото Министерство на иновациите и растежа (МИР) като институционален ръководител на политиката. </w:t>
      </w:r>
    </w:p>
    <w:p w14:paraId="205B920C" w14:textId="77777777" w:rsidR="00E045A5" w:rsidRPr="00321A4C" w:rsidRDefault="00E045A5" w:rsidP="00321A4C">
      <w:pPr>
        <w:autoSpaceDE w:val="0"/>
        <w:autoSpaceDN w:val="0"/>
        <w:adjustRightInd w:val="0"/>
        <w:spacing w:after="0" w:line="276" w:lineRule="auto"/>
        <w:ind w:firstLine="709"/>
        <w:jc w:val="both"/>
        <w:rPr>
          <w:rFonts w:ascii="Times New Roman" w:hAnsi="Times New Roman" w:cs="Times New Roman"/>
          <w:color w:val="000000"/>
          <w:sz w:val="24"/>
          <w:szCs w:val="24"/>
        </w:rPr>
      </w:pPr>
      <w:r w:rsidRPr="00321A4C">
        <w:rPr>
          <w:rFonts w:ascii="Times New Roman" w:hAnsi="Times New Roman" w:cs="Times New Roman"/>
          <w:color w:val="000000"/>
          <w:sz w:val="24"/>
          <w:szCs w:val="24"/>
        </w:rPr>
        <w:t xml:space="preserve">Съобразно функциите, разпределени между ведомствата, МИР отговаря за изготвянето на проект на Закон за насърчаване на електрическата мобилност, представляващ ключов етап № 178 от Приложението към Решение за изпълнение на Съвета за одобряване на оценката на Плана за възстановяване и устойчивост на България. Целта е да се изработи нова правна уредба за насърчаване на разгръщането на инфраструктура за зареждане с електроенергия и превозни средства с нулеви емисии и за ограничаване на използването на най-замърсяващите превозни средства. Това включва: опростяване на процедурите за изграждане и свързване на зарядните станции към електроенергийната мрежа; нормативно задължение за общините да осигурят места за зарядни устройства; нормативно заложен стимул за електроразпределителните дружества да предоставят лесен достъп до електроенергийната мрежа; въвеждане на преференциални финансови инструменти за малките и средните предприятия, които инвестират в изграждането и управлението на инфраструктура за зареждане с електроенергия и др. Законът трябва да въведе стимули за навлизането на пазара на електрически превозни средства (ЕПС) и да е в съответствие с принципа „замърсителят плаща“, като включва специални мерки: субсидии за превозни средства с нулеви емисии; диференциране на таксите/данъците за регистрация/собственост в зависимост от равнището на емисиите и схеми за бракуване на най-замърсяващите превозни средства. </w:t>
      </w:r>
    </w:p>
    <w:p w14:paraId="73FE86D6" w14:textId="77777777" w:rsidR="00E045A5" w:rsidRPr="00465BED" w:rsidRDefault="00E045A5" w:rsidP="00321A4C">
      <w:pPr>
        <w:spacing w:after="0" w:line="276" w:lineRule="auto"/>
        <w:ind w:firstLine="709"/>
        <w:jc w:val="both"/>
        <w:rPr>
          <w:rFonts w:ascii="Times New Roman" w:hAnsi="Times New Roman" w:cs="Times New Roman"/>
          <w:sz w:val="24"/>
          <w:szCs w:val="24"/>
        </w:rPr>
      </w:pPr>
      <w:r w:rsidRPr="00321A4C">
        <w:rPr>
          <w:rFonts w:ascii="Times New Roman" w:hAnsi="Times New Roman" w:cs="Times New Roman"/>
          <w:color w:val="000000"/>
          <w:sz w:val="24"/>
          <w:szCs w:val="24"/>
        </w:rPr>
        <w:t xml:space="preserve">Разгръщането на потенциала на водородните технологии и производството и доставките на водород е ключова предпоставка за изпълнение на целите на Зеления пакт и декарбонизацията на икономиката предвид потенциала на водорода да замени изкопаемите енергоизточници в икономиката на бъдещето. Във връзка с изпълнението на горепосочената реформа, МИР предприе действия за изготвянето на проект на Национална пътна карта за развитие на водородните технологии, разработен в </w:t>
      </w:r>
      <w:r w:rsidRPr="00321A4C">
        <w:rPr>
          <w:rFonts w:ascii="Times New Roman" w:hAnsi="Times New Roman" w:cs="Times New Roman"/>
          <w:sz w:val="24"/>
          <w:szCs w:val="24"/>
        </w:rPr>
        <w:t xml:space="preserve">рамките на работна група, създадена със заповед от министъра на иновациите и растежа. Целта на Пътната карта е да </w:t>
      </w:r>
      <w:r w:rsidRPr="00321A4C">
        <w:rPr>
          <w:rFonts w:ascii="Times New Roman" w:hAnsi="Times New Roman" w:cs="Times New Roman"/>
          <w:sz w:val="24"/>
          <w:szCs w:val="24"/>
        </w:rPr>
        <w:lastRenderedPageBreak/>
        <w:t xml:space="preserve">се създаде база за съгласувана рамка за ефективно, плавно и последователно въвеждане на технологии за производство, транспортиране и използване на водород в индустрията, енергетиката, транспорта и бита, за създаване на благоприятни условия за иновации и инвестиции. Ще бъдат определени секторите и етапите за осигуряване на максимален ефект върху ангажиментите за климатично неутрална икономика, за създаване на нови вериги на стойността по отношение на водорода и засилване на партньорството на национално, регионално и европейско ниво. В Пътната карта ще бъдат посочени законодателни и нормативни изменения, които следва да бъдат изготвени от страна на компетентните институции с цел да бъдат премахнат ключовите </w:t>
      </w:r>
      <w:r w:rsidRPr="00465BED">
        <w:rPr>
          <w:rFonts w:ascii="Times New Roman" w:hAnsi="Times New Roman" w:cs="Times New Roman"/>
          <w:sz w:val="24"/>
          <w:szCs w:val="24"/>
        </w:rPr>
        <w:t>пречки, идентифицирани в Пътната карта за развитието на технологията за зелен водород.</w:t>
      </w:r>
    </w:p>
    <w:p w14:paraId="0687AD97" w14:textId="77777777" w:rsidR="00702E74" w:rsidRPr="00465BED" w:rsidRDefault="00702E74" w:rsidP="001D33CA">
      <w:pPr>
        <w:spacing w:before="120" w:after="0" w:line="276" w:lineRule="auto"/>
        <w:ind w:firstLine="709"/>
        <w:jc w:val="both"/>
        <w:rPr>
          <w:rFonts w:ascii="Times New Roman" w:hAnsi="Times New Roman" w:cs="Times New Roman"/>
          <w:sz w:val="24"/>
          <w:szCs w:val="24"/>
          <w:highlight w:val="yellow"/>
        </w:rPr>
      </w:pPr>
    </w:p>
    <w:p w14:paraId="1E1B386C" w14:textId="7F486B22" w:rsidR="000506CC" w:rsidRPr="00E045A5" w:rsidRDefault="00DA7159" w:rsidP="00E045A5">
      <w:pPr>
        <w:pStyle w:val="Heading3"/>
        <w:shd w:val="clear" w:color="auto" w:fill="E2EFD9" w:themeFill="accent6" w:themeFillTint="33"/>
        <w:spacing w:before="0" w:line="276" w:lineRule="auto"/>
        <w:ind w:firstLine="709"/>
        <w:jc w:val="both"/>
        <w:rPr>
          <w:b/>
          <w:color w:val="auto"/>
        </w:rPr>
      </w:pPr>
      <w:bookmarkStart w:id="17" w:name="_Toc513629185"/>
      <w:bookmarkStart w:id="18" w:name="_Toc202730009"/>
      <w:r w:rsidRPr="00E045A5">
        <w:rPr>
          <w:rFonts w:ascii="Times New Roman" w:hAnsi="Times New Roman" w:cs="Times New Roman"/>
          <w:b/>
          <w:color w:val="auto"/>
        </w:rPr>
        <w:t>1.3.</w:t>
      </w:r>
      <w:r w:rsidRPr="00E045A5">
        <w:rPr>
          <w:b/>
          <w:color w:val="auto"/>
        </w:rPr>
        <w:t xml:space="preserve"> </w:t>
      </w:r>
      <w:r w:rsidR="00176EF9" w:rsidRPr="00E045A5">
        <w:rPr>
          <w:rFonts w:ascii="Times New Roman" w:hAnsi="Times New Roman" w:cs="Times New Roman"/>
          <w:b/>
          <w:color w:val="auto"/>
        </w:rPr>
        <w:t xml:space="preserve">Алтернативи за </w:t>
      </w:r>
      <w:bookmarkEnd w:id="17"/>
      <w:r w:rsidR="005B5EB3">
        <w:rPr>
          <w:rFonts w:ascii="Times New Roman" w:hAnsi="Times New Roman" w:cs="Times New Roman"/>
          <w:b/>
          <w:color w:val="auto"/>
        </w:rPr>
        <w:t>ИПЕК</w:t>
      </w:r>
      <w:bookmarkEnd w:id="18"/>
    </w:p>
    <w:p w14:paraId="7D50E54F" w14:textId="77777777" w:rsidR="00C80750" w:rsidRPr="00E045A5" w:rsidRDefault="00C80750" w:rsidP="00C80750">
      <w:pPr>
        <w:spacing w:after="0" w:line="276" w:lineRule="auto"/>
        <w:ind w:firstLine="709"/>
        <w:jc w:val="both"/>
        <w:rPr>
          <w:rFonts w:ascii="Times New Roman" w:hAnsi="Times New Roman" w:cs="Times New Roman"/>
          <w:i/>
          <w:iCs/>
          <w:sz w:val="24"/>
          <w:szCs w:val="24"/>
        </w:rPr>
      </w:pPr>
      <w:r w:rsidRPr="00E045A5">
        <w:rPr>
          <w:rFonts w:ascii="Times New Roman" w:hAnsi="Times New Roman" w:cs="Times New Roman"/>
          <w:i/>
          <w:iCs/>
          <w:sz w:val="24"/>
          <w:szCs w:val="24"/>
        </w:rPr>
        <w:t xml:space="preserve">В Доклада за ЕО ще бъдат подробно разгледани и оценени </w:t>
      </w:r>
      <w:r>
        <w:rPr>
          <w:rFonts w:ascii="Times New Roman" w:hAnsi="Times New Roman" w:cs="Times New Roman"/>
          <w:i/>
          <w:iCs/>
          <w:sz w:val="24"/>
          <w:szCs w:val="24"/>
        </w:rPr>
        <w:t xml:space="preserve">в цялост </w:t>
      </w:r>
      <w:r w:rsidRPr="00E045A5">
        <w:rPr>
          <w:rFonts w:ascii="Times New Roman" w:hAnsi="Times New Roman" w:cs="Times New Roman"/>
          <w:i/>
          <w:iCs/>
          <w:sz w:val="24"/>
          <w:szCs w:val="24"/>
        </w:rPr>
        <w:t xml:space="preserve">„Нулева“ алтернатива, равносилна на отказ от реализирането на плана, и Алтернатива за реализиране на разработения </w:t>
      </w:r>
      <w:r>
        <w:rPr>
          <w:rFonts w:ascii="Times New Roman" w:hAnsi="Times New Roman" w:cs="Times New Roman"/>
          <w:i/>
          <w:iCs/>
          <w:sz w:val="24"/>
          <w:szCs w:val="24"/>
        </w:rPr>
        <w:t>актуализиран проект на ИПЕК</w:t>
      </w:r>
      <w:r w:rsidRPr="00E045A5">
        <w:rPr>
          <w:rFonts w:ascii="Times New Roman" w:hAnsi="Times New Roman" w:cs="Times New Roman"/>
          <w:i/>
          <w:iCs/>
          <w:sz w:val="24"/>
          <w:szCs w:val="24"/>
        </w:rPr>
        <w:t>.</w:t>
      </w:r>
    </w:p>
    <w:p w14:paraId="1550546A" w14:textId="27AEE78F" w:rsidR="009A51DF" w:rsidRPr="00096DDD" w:rsidRDefault="004E4E6F" w:rsidP="001D33CA">
      <w:pPr>
        <w:spacing w:after="0" w:line="276" w:lineRule="auto"/>
        <w:ind w:firstLine="709"/>
        <w:jc w:val="both"/>
        <w:rPr>
          <w:rFonts w:ascii="Times New Roman" w:hAnsi="Times New Roman" w:cs="Times New Roman"/>
          <w:sz w:val="24"/>
          <w:szCs w:val="24"/>
        </w:rPr>
      </w:pPr>
      <w:r w:rsidRPr="00E045A5">
        <w:rPr>
          <w:rFonts w:ascii="Times New Roman" w:eastAsia="Calibri" w:hAnsi="Times New Roman" w:cs="Times New Roman"/>
          <w:i/>
          <w:sz w:val="24"/>
          <w:szCs w:val="24"/>
        </w:rPr>
        <w:t xml:space="preserve">Предоставеният от Възложителя </w:t>
      </w:r>
      <w:r w:rsidR="00E045A5" w:rsidRPr="00E045A5">
        <w:rPr>
          <w:rFonts w:ascii="Times New Roman" w:hAnsi="Times New Roman" w:cs="Times New Roman"/>
          <w:i/>
          <w:sz w:val="24"/>
          <w:szCs w:val="24"/>
        </w:rPr>
        <w:t xml:space="preserve">проект на </w:t>
      </w:r>
      <w:r w:rsidR="00E045A5" w:rsidRPr="00E045A5">
        <w:rPr>
          <w:rFonts w:ascii="Times New Roman" w:hAnsi="Times New Roman" w:cs="Times New Roman"/>
          <w:bCs/>
          <w:i/>
          <w:sz w:val="24"/>
          <w:szCs w:val="24"/>
        </w:rPr>
        <w:t>Интегриран план в областта на енергетиката и климата на Република България - актуализация 2024 г.</w:t>
      </w:r>
      <w:r w:rsidRPr="00E045A5">
        <w:rPr>
          <w:rFonts w:ascii="Times New Roman" w:eastAsia="Calibri" w:hAnsi="Times New Roman" w:cs="Times New Roman"/>
          <w:i/>
          <w:sz w:val="24"/>
          <w:szCs w:val="24"/>
        </w:rPr>
        <w:t xml:space="preserve"> не съдържа </w:t>
      </w:r>
      <w:r w:rsidR="00096DDD">
        <w:rPr>
          <w:rFonts w:ascii="Times New Roman" w:eastAsia="Calibri" w:hAnsi="Times New Roman" w:cs="Times New Roman"/>
          <w:i/>
          <w:sz w:val="24"/>
          <w:szCs w:val="24"/>
        </w:rPr>
        <w:t xml:space="preserve">изрично разработени </w:t>
      </w:r>
      <w:r w:rsidRPr="00E045A5">
        <w:rPr>
          <w:rFonts w:ascii="Times New Roman" w:eastAsia="Calibri" w:hAnsi="Times New Roman" w:cs="Times New Roman"/>
          <w:i/>
          <w:sz w:val="24"/>
          <w:szCs w:val="24"/>
        </w:rPr>
        <w:t>алтернативи.</w:t>
      </w:r>
      <w:r w:rsidR="00A30F6F">
        <w:rPr>
          <w:rFonts w:ascii="Times New Roman" w:hAnsi="Times New Roman" w:cs="Times New Roman"/>
          <w:sz w:val="24"/>
          <w:szCs w:val="24"/>
        </w:rPr>
        <w:t xml:space="preserve"> </w:t>
      </w:r>
      <w:r w:rsidR="00096DDD">
        <w:rPr>
          <w:rFonts w:ascii="Times New Roman" w:eastAsia="Calibri" w:hAnsi="Times New Roman" w:cs="Times New Roman"/>
          <w:i/>
          <w:sz w:val="24"/>
          <w:szCs w:val="24"/>
        </w:rPr>
        <w:t xml:space="preserve">Ролята на алтернативи за развитието на националната енергийна система играят разработените за целите на ИПЕК два сценария – </w:t>
      </w:r>
      <w:r w:rsidR="00096DDD">
        <w:rPr>
          <w:rFonts w:ascii="Times New Roman" w:eastAsia="Calibri" w:hAnsi="Times New Roman" w:cs="Times New Roman"/>
          <w:i/>
          <w:sz w:val="24"/>
          <w:szCs w:val="24"/>
          <w:lang w:val="en-US"/>
        </w:rPr>
        <w:t>WEM</w:t>
      </w:r>
      <w:r w:rsidR="00096DDD">
        <w:rPr>
          <w:rFonts w:ascii="Times New Roman" w:eastAsia="Calibri" w:hAnsi="Times New Roman" w:cs="Times New Roman"/>
          <w:i/>
          <w:sz w:val="24"/>
          <w:szCs w:val="24"/>
        </w:rPr>
        <w:t xml:space="preserve"> – със съществуващи политики и мерки и </w:t>
      </w:r>
      <w:r w:rsidR="00096DDD">
        <w:rPr>
          <w:rFonts w:ascii="Times New Roman" w:eastAsia="Calibri" w:hAnsi="Times New Roman" w:cs="Times New Roman"/>
          <w:i/>
          <w:sz w:val="24"/>
          <w:szCs w:val="24"/>
          <w:lang w:val="en-US"/>
        </w:rPr>
        <w:t>WAM</w:t>
      </w:r>
      <w:r w:rsidR="00096DDD">
        <w:rPr>
          <w:rFonts w:ascii="Times New Roman" w:eastAsia="Calibri" w:hAnsi="Times New Roman" w:cs="Times New Roman"/>
          <w:i/>
          <w:sz w:val="24"/>
          <w:szCs w:val="24"/>
        </w:rPr>
        <w:t xml:space="preserve"> – с допълнителни политики и мерки. </w:t>
      </w:r>
      <w:r w:rsidR="00C80750">
        <w:rPr>
          <w:rFonts w:ascii="Times New Roman" w:eastAsia="Calibri" w:hAnsi="Times New Roman" w:cs="Times New Roman"/>
          <w:i/>
          <w:sz w:val="24"/>
          <w:szCs w:val="24"/>
        </w:rPr>
        <w:t xml:space="preserve">Те ще бъдат оценени в Доклада за ЕО. </w:t>
      </w:r>
    </w:p>
    <w:p w14:paraId="694CE444" w14:textId="77777777" w:rsidR="004E4E6F" w:rsidRPr="00E045A5" w:rsidRDefault="004E4E6F" w:rsidP="001D33CA">
      <w:pPr>
        <w:spacing w:after="0" w:line="276" w:lineRule="auto"/>
        <w:ind w:firstLine="709"/>
        <w:jc w:val="both"/>
        <w:rPr>
          <w:rFonts w:ascii="Times New Roman" w:hAnsi="Times New Roman" w:cs="Times New Roman"/>
          <w:i/>
          <w:iCs/>
          <w:sz w:val="24"/>
          <w:szCs w:val="24"/>
        </w:rPr>
      </w:pPr>
    </w:p>
    <w:p w14:paraId="45DE06B4" w14:textId="597BDDA1" w:rsidR="00DA7159" w:rsidRPr="00E045A5" w:rsidRDefault="00DA7159" w:rsidP="00E045A5">
      <w:pPr>
        <w:pStyle w:val="Heading3"/>
        <w:shd w:val="clear" w:color="auto" w:fill="E2EFD9" w:themeFill="accent6" w:themeFillTint="33"/>
        <w:spacing w:before="0" w:line="276" w:lineRule="auto"/>
        <w:ind w:firstLine="709"/>
        <w:jc w:val="both"/>
        <w:rPr>
          <w:rFonts w:ascii="Times New Roman" w:hAnsi="Times New Roman" w:cs="Times New Roman"/>
          <w:b/>
          <w:color w:val="auto"/>
          <w:highlight w:val="yellow"/>
        </w:rPr>
      </w:pPr>
      <w:bookmarkStart w:id="19" w:name="_Toc513629186"/>
      <w:bookmarkStart w:id="20" w:name="_Toc202730010"/>
      <w:r w:rsidRPr="00E045A5">
        <w:rPr>
          <w:rFonts w:ascii="Times New Roman" w:hAnsi="Times New Roman" w:cs="Times New Roman"/>
          <w:b/>
          <w:color w:val="auto"/>
        </w:rPr>
        <w:t>1.4.</w:t>
      </w:r>
      <w:r w:rsidR="00176EF9" w:rsidRPr="00E045A5">
        <w:rPr>
          <w:rFonts w:ascii="Times New Roman" w:hAnsi="Times New Roman" w:cs="Times New Roman"/>
          <w:b/>
          <w:color w:val="auto"/>
        </w:rPr>
        <w:t xml:space="preserve"> Връзка на</w:t>
      </w:r>
      <w:r w:rsidRPr="00E045A5">
        <w:rPr>
          <w:rFonts w:ascii="Times New Roman" w:hAnsi="Times New Roman" w:cs="Times New Roman"/>
          <w:b/>
          <w:color w:val="auto"/>
        </w:rPr>
        <w:t xml:space="preserve"> </w:t>
      </w:r>
      <w:r w:rsidR="005B5EB3">
        <w:rPr>
          <w:rFonts w:ascii="Times New Roman" w:hAnsi="Times New Roman" w:cs="Times New Roman"/>
          <w:b/>
          <w:color w:val="auto"/>
        </w:rPr>
        <w:t>ИПЕК</w:t>
      </w:r>
      <w:r w:rsidR="00176EF9" w:rsidRPr="00E045A5">
        <w:rPr>
          <w:rFonts w:ascii="Times New Roman" w:hAnsi="Times New Roman" w:cs="Times New Roman"/>
          <w:b/>
          <w:color w:val="auto"/>
        </w:rPr>
        <w:t xml:space="preserve"> с други съотносими планове, програми и стратегии</w:t>
      </w:r>
      <w:bookmarkEnd w:id="19"/>
      <w:bookmarkEnd w:id="20"/>
    </w:p>
    <w:p w14:paraId="10D0AA5D" w14:textId="77777777" w:rsidR="00F23CEF" w:rsidRDefault="00F23CEF" w:rsidP="00F23CEF">
      <w:pPr>
        <w:spacing w:after="0" w:line="276" w:lineRule="auto"/>
        <w:ind w:firstLine="709"/>
        <w:jc w:val="both"/>
        <w:rPr>
          <w:rFonts w:ascii="Times New Roman" w:hAnsi="Times New Roman" w:cs="Times New Roman"/>
          <w:b/>
          <w:bCs/>
          <w:sz w:val="24"/>
          <w:szCs w:val="24"/>
        </w:rPr>
      </w:pPr>
    </w:p>
    <w:p w14:paraId="164FFE35" w14:textId="35CA3C36" w:rsidR="00F23CEF" w:rsidRPr="00012D9F" w:rsidRDefault="00F23CEF" w:rsidP="00F23CEF">
      <w:pPr>
        <w:spacing w:after="0" w:line="276" w:lineRule="auto"/>
        <w:ind w:firstLine="709"/>
        <w:jc w:val="both"/>
        <w:rPr>
          <w:rFonts w:ascii="Times New Roman" w:hAnsi="Times New Roman" w:cs="Times New Roman"/>
          <w:b/>
          <w:bCs/>
          <w:sz w:val="24"/>
          <w:szCs w:val="24"/>
        </w:rPr>
      </w:pPr>
      <w:r w:rsidRPr="00012D9F">
        <w:rPr>
          <w:rFonts w:ascii="Times New Roman" w:hAnsi="Times New Roman" w:cs="Times New Roman"/>
          <w:b/>
          <w:bCs/>
          <w:sz w:val="24"/>
          <w:szCs w:val="24"/>
        </w:rPr>
        <w:t xml:space="preserve">А. Планове, програми и стратегии с директно отражение в проекта на </w:t>
      </w:r>
      <w:r>
        <w:rPr>
          <w:rFonts w:ascii="Times New Roman" w:hAnsi="Times New Roman" w:cs="Times New Roman"/>
          <w:b/>
          <w:bCs/>
          <w:sz w:val="24"/>
          <w:szCs w:val="24"/>
        </w:rPr>
        <w:t>ИПЕК</w:t>
      </w:r>
      <w:r w:rsidRPr="00012D9F">
        <w:rPr>
          <w:rFonts w:ascii="Times New Roman" w:hAnsi="Times New Roman" w:cs="Times New Roman"/>
          <w:b/>
          <w:bCs/>
          <w:sz w:val="24"/>
          <w:szCs w:val="24"/>
        </w:rPr>
        <w:t xml:space="preserve">: </w:t>
      </w:r>
    </w:p>
    <w:p w14:paraId="22779C68" w14:textId="267D09BF" w:rsidR="00D266B9" w:rsidRDefault="00D266B9" w:rsidP="00D266B9">
      <w:pPr>
        <w:autoSpaceDE w:val="0"/>
        <w:autoSpaceDN w:val="0"/>
        <w:adjustRightInd w:val="0"/>
        <w:spacing w:after="0" w:line="276" w:lineRule="auto"/>
        <w:ind w:firstLine="709"/>
        <w:jc w:val="both"/>
        <w:rPr>
          <w:rFonts w:ascii="Times New Roman" w:hAnsi="Times New Roman" w:cs="Times New Roman"/>
          <w:color w:val="000000"/>
          <w:sz w:val="24"/>
          <w:szCs w:val="24"/>
        </w:rPr>
      </w:pPr>
      <w:r w:rsidRPr="00D266B9">
        <w:rPr>
          <w:rFonts w:ascii="Times New Roman" w:hAnsi="Times New Roman" w:cs="Times New Roman"/>
          <w:color w:val="000000"/>
          <w:sz w:val="24"/>
          <w:szCs w:val="24"/>
        </w:rPr>
        <w:t xml:space="preserve">За изготвянето на актуализирания Интегриран план за енергетика и климат са използвани следните национални стратегически документи (и проекти на документи в процес на съгласуване): </w:t>
      </w:r>
    </w:p>
    <w:p w14:paraId="10726E1C" w14:textId="77777777" w:rsidR="00A72E37" w:rsidRDefault="00A72E37" w:rsidP="000A3E48">
      <w:pPr>
        <w:pStyle w:val="ListParagraph"/>
        <w:numPr>
          <w:ilvl w:val="0"/>
          <w:numId w:val="66"/>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t>Проект на Стратегия за устойчиво енергийно развитие до 2030 г., с хоризонт до 2050 г.;</w:t>
      </w:r>
    </w:p>
    <w:p w14:paraId="6F95BFFB" w14:textId="77777777" w:rsidR="00A72E37" w:rsidRDefault="00A72E37" w:rsidP="000A3E48">
      <w:pPr>
        <w:pStyle w:val="ListParagraph"/>
        <w:numPr>
          <w:ilvl w:val="0"/>
          <w:numId w:val="66"/>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t>Пътна карта за климатична неутралност на Република България;</w:t>
      </w:r>
    </w:p>
    <w:p w14:paraId="2D4978BE" w14:textId="77777777" w:rsidR="00A72E37" w:rsidRDefault="00A72E37" w:rsidP="000A3E48">
      <w:pPr>
        <w:pStyle w:val="ListParagraph"/>
        <w:numPr>
          <w:ilvl w:val="0"/>
          <w:numId w:val="66"/>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t>Национална стратегия за развитие на минната индустрия до 2030 г.;</w:t>
      </w:r>
    </w:p>
    <w:p w14:paraId="451D46AB" w14:textId="77777777" w:rsidR="00A72E37" w:rsidRDefault="00A72E37" w:rsidP="000A3E48">
      <w:pPr>
        <w:pStyle w:val="ListParagraph"/>
        <w:numPr>
          <w:ilvl w:val="0"/>
          <w:numId w:val="66"/>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t>Стратегия за участието на България в Четвъртата индустриална революция;</w:t>
      </w:r>
    </w:p>
    <w:p w14:paraId="4E273AE4" w14:textId="77777777" w:rsidR="00A72E37" w:rsidRDefault="00A72E37" w:rsidP="000A3E48">
      <w:pPr>
        <w:pStyle w:val="ListParagraph"/>
        <w:numPr>
          <w:ilvl w:val="0"/>
          <w:numId w:val="66"/>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t>Дългосрочна национална стратегия за подпомагане обновяването на националния фонд от жилищни и нежилищни сгради с хоризонт на изпълнение 2050 г.;</w:t>
      </w:r>
    </w:p>
    <w:p w14:paraId="275F6376" w14:textId="77777777" w:rsidR="00A72E37" w:rsidRDefault="00A72E37" w:rsidP="000A3E48">
      <w:pPr>
        <w:pStyle w:val="ListParagraph"/>
        <w:numPr>
          <w:ilvl w:val="0"/>
          <w:numId w:val="66"/>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t>Дългосрочна стратегия за смекчаване на изменението на климата до 2050 г. на Република България;</w:t>
      </w:r>
    </w:p>
    <w:p w14:paraId="6A7F2610" w14:textId="77777777" w:rsidR="00A72E37" w:rsidRDefault="00A72E37" w:rsidP="000A3E48">
      <w:pPr>
        <w:pStyle w:val="ListParagraph"/>
        <w:numPr>
          <w:ilvl w:val="0"/>
          <w:numId w:val="66"/>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t>Иновационна стратегия за интелигентна специализация;</w:t>
      </w:r>
    </w:p>
    <w:p w14:paraId="4DCBE960" w14:textId="77777777" w:rsidR="00A72E37" w:rsidRDefault="00A72E37" w:rsidP="000A3E48">
      <w:pPr>
        <w:pStyle w:val="ListParagraph"/>
        <w:numPr>
          <w:ilvl w:val="0"/>
          <w:numId w:val="66"/>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lastRenderedPageBreak/>
        <w:t>Национална програма за енергийна ефективност на многофамилни жилищни сгради;</w:t>
      </w:r>
    </w:p>
    <w:p w14:paraId="281BAF1F" w14:textId="77777777" w:rsidR="00A72E37" w:rsidRDefault="00A72E37" w:rsidP="000A3E48">
      <w:pPr>
        <w:pStyle w:val="ListParagraph"/>
        <w:numPr>
          <w:ilvl w:val="0"/>
          <w:numId w:val="66"/>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t>Национална рамка за политика за развитието на пазара на алтернативни горива в транспортния сектор и за разгръщането на съответната инфраструктура;</w:t>
      </w:r>
    </w:p>
    <w:p w14:paraId="6DF12305" w14:textId="77777777" w:rsidR="00A72E37" w:rsidRDefault="00A72E37" w:rsidP="000A3E48">
      <w:pPr>
        <w:pStyle w:val="ListParagraph"/>
        <w:numPr>
          <w:ilvl w:val="0"/>
          <w:numId w:val="66"/>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t>Интегрирана транспортна стратегия в периода до 2030 г.;</w:t>
      </w:r>
    </w:p>
    <w:p w14:paraId="60FD8634" w14:textId="77777777" w:rsidR="00A72E37" w:rsidRDefault="00A72E37" w:rsidP="000A3E48">
      <w:pPr>
        <w:pStyle w:val="ListParagraph"/>
        <w:numPr>
          <w:ilvl w:val="0"/>
          <w:numId w:val="66"/>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t>Национален план за развитие на комбинирания транспорт на Република България до 2030 г.;</w:t>
      </w:r>
    </w:p>
    <w:p w14:paraId="68A534E0" w14:textId="77777777" w:rsidR="00A72E37" w:rsidRDefault="00A72E37" w:rsidP="000A3E48">
      <w:pPr>
        <w:pStyle w:val="ListParagraph"/>
        <w:numPr>
          <w:ilvl w:val="0"/>
          <w:numId w:val="66"/>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t>Национален план за действие за енергия от горска биомаса 2018–2027 г.;</w:t>
      </w:r>
    </w:p>
    <w:p w14:paraId="368F144E" w14:textId="77777777" w:rsidR="00A72E37" w:rsidRDefault="00A72E37" w:rsidP="000A3E48">
      <w:pPr>
        <w:pStyle w:val="ListParagraph"/>
        <w:numPr>
          <w:ilvl w:val="0"/>
          <w:numId w:val="66"/>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t>Национална стратегия за адаптация към изменението на климата на Република България и План за действие;</w:t>
      </w:r>
    </w:p>
    <w:p w14:paraId="5E0B0370" w14:textId="77777777" w:rsidR="00A72E37" w:rsidRDefault="00A72E37" w:rsidP="000A3E48">
      <w:pPr>
        <w:pStyle w:val="ListParagraph"/>
        <w:numPr>
          <w:ilvl w:val="0"/>
          <w:numId w:val="66"/>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t>Национална стратегия за развитие на научните изследвания в Република България 2017-2030 г.;</w:t>
      </w:r>
    </w:p>
    <w:p w14:paraId="748D6CFE" w14:textId="77777777" w:rsidR="00A72E37" w:rsidRDefault="00A72E37" w:rsidP="000A3E48">
      <w:pPr>
        <w:pStyle w:val="ListParagraph"/>
        <w:numPr>
          <w:ilvl w:val="0"/>
          <w:numId w:val="66"/>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t>План за развитие на преносната електрическа мрежа на България за периода 2023-2032 г.;</w:t>
      </w:r>
    </w:p>
    <w:p w14:paraId="657E330C" w14:textId="77777777" w:rsidR="00A72E37" w:rsidRDefault="00A72E37" w:rsidP="000A3E48">
      <w:pPr>
        <w:pStyle w:val="ListParagraph"/>
        <w:numPr>
          <w:ilvl w:val="0"/>
          <w:numId w:val="66"/>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t>Десетгодишен план за развитие на мрежите на „Булгартрансгаз“ ЕАД за периода 2023-2032 г.;</w:t>
      </w:r>
    </w:p>
    <w:p w14:paraId="67CB0A15" w14:textId="28D3EED5" w:rsidR="00A72E37" w:rsidRPr="00A72E37" w:rsidRDefault="00A72E37" w:rsidP="000A3E48">
      <w:pPr>
        <w:pStyle w:val="ListParagraph"/>
        <w:numPr>
          <w:ilvl w:val="0"/>
          <w:numId w:val="66"/>
        </w:numPr>
        <w:autoSpaceDE w:val="0"/>
        <w:autoSpaceDN w:val="0"/>
        <w:adjustRightInd w:val="0"/>
        <w:spacing w:after="0" w:line="276" w:lineRule="auto"/>
        <w:ind w:left="851"/>
        <w:jc w:val="both"/>
        <w:rPr>
          <w:rFonts w:ascii="Times New Roman" w:hAnsi="Times New Roman" w:cs="Times New Roman"/>
          <w:color w:val="000000"/>
          <w:sz w:val="24"/>
          <w:szCs w:val="24"/>
        </w:rPr>
      </w:pPr>
      <w:r w:rsidRPr="00A72E37">
        <w:rPr>
          <w:rFonts w:ascii="Times New Roman" w:hAnsi="Times New Roman" w:cs="Times New Roman"/>
          <w:color w:val="000000"/>
          <w:sz w:val="24"/>
          <w:szCs w:val="24"/>
        </w:rPr>
        <w:t>Национална пътна карта за подобряване на условията за разгръщане на потенциала за развитие на водородните технологии и механизмите за производство и доставка на водород.</w:t>
      </w:r>
    </w:p>
    <w:p w14:paraId="0C20F907" w14:textId="77777777" w:rsidR="00D266B9" w:rsidRDefault="00D266B9" w:rsidP="001D33CA">
      <w:pPr>
        <w:spacing w:after="0" w:line="276" w:lineRule="auto"/>
        <w:ind w:firstLine="709"/>
        <w:jc w:val="both"/>
        <w:rPr>
          <w:rFonts w:ascii="Times New Roman" w:hAnsi="Times New Roman" w:cs="Times New Roman"/>
          <w:sz w:val="24"/>
          <w:szCs w:val="24"/>
        </w:rPr>
      </w:pPr>
    </w:p>
    <w:p w14:paraId="17C11ABC" w14:textId="77777777" w:rsidR="007E4AF6" w:rsidRPr="00012D9F" w:rsidRDefault="007E4AF6" w:rsidP="007E4AF6">
      <w:pPr>
        <w:spacing w:after="0" w:line="276" w:lineRule="auto"/>
        <w:ind w:firstLine="709"/>
        <w:jc w:val="both"/>
        <w:rPr>
          <w:rFonts w:ascii="Times New Roman" w:hAnsi="Times New Roman" w:cs="Times New Roman"/>
          <w:b/>
          <w:bCs/>
          <w:sz w:val="24"/>
          <w:szCs w:val="24"/>
        </w:rPr>
      </w:pPr>
      <w:r w:rsidRPr="00012D9F">
        <w:rPr>
          <w:rFonts w:ascii="Times New Roman" w:hAnsi="Times New Roman" w:cs="Times New Roman"/>
          <w:b/>
          <w:bCs/>
          <w:sz w:val="24"/>
          <w:szCs w:val="24"/>
        </w:rPr>
        <w:t>Б. Други планове, програми и стратегии, в т.ч. такива, поставящи цели по опазване на околната среда:</w:t>
      </w:r>
    </w:p>
    <w:p w14:paraId="662B5046" w14:textId="05FBD9E4" w:rsidR="007E4AF6" w:rsidRPr="007E4AF6" w:rsidRDefault="007E4AF6" w:rsidP="007E4AF6">
      <w:pPr>
        <w:pStyle w:val="ListParagraph"/>
        <w:numPr>
          <w:ilvl w:val="0"/>
          <w:numId w:val="51"/>
        </w:numPr>
        <w:spacing w:after="0" w:line="276" w:lineRule="auto"/>
        <w:ind w:left="993"/>
        <w:jc w:val="both"/>
        <w:rPr>
          <w:rFonts w:ascii="Times New Roman" w:hAnsi="Times New Roman" w:cs="Times New Roman"/>
          <w:b/>
          <w:bCs/>
          <w:i/>
          <w:iCs/>
          <w:sz w:val="24"/>
          <w:szCs w:val="24"/>
        </w:rPr>
      </w:pPr>
      <w:r w:rsidRPr="007E4AF6">
        <w:rPr>
          <w:rFonts w:ascii="Times New Roman" w:hAnsi="Times New Roman" w:cs="Times New Roman"/>
          <w:b/>
          <w:bCs/>
          <w:i/>
          <w:iCs/>
          <w:sz w:val="24"/>
          <w:szCs w:val="24"/>
        </w:rPr>
        <w:t>Национална стратегия за околна среда 2021 – 2030 г.</w:t>
      </w:r>
    </w:p>
    <w:p w14:paraId="7EBDE17D" w14:textId="504F0AEE" w:rsidR="007E4AF6" w:rsidRPr="00012D9F" w:rsidRDefault="007E4AF6" w:rsidP="007E4AF6">
      <w:pPr>
        <w:spacing w:after="0" w:line="276" w:lineRule="auto"/>
        <w:ind w:firstLine="720"/>
        <w:jc w:val="both"/>
        <w:rPr>
          <w:rFonts w:ascii="Times New Roman" w:hAnsi="Times New Roman" w:cs="Times New Roman"/>
          <w:sz w:val="24"/>
          <w:szCs w:val="24"/>
        </w:rPr>
      </w:pPr>
      <w:r w:rsidRPr="00012D9F">
        <w:rPr>
          <w:rFonts w:ascii="Times New Roman" w:hAnsi="Times New Roman" w:cs="Times New Roman"/>
          <w:sz w:val="24"/>
          <w:szCs w:val="24"/>
        </w:rPr>
        <w:t>Стратегията е изготвена на основание чл. 75, ал. 2 и ал. 4 от Закона за опазване на околната среда и е приета с Решение № 765 на Министерския съвет от 02.11.2023 г. и е валиден до края на 2030 г.</w:t>
      </w:r>
      <w:r w:rsidRPr="00012D9F">
        <w:t xml:space="preserve"> </w:t>
      </w:r>
      <w:r w:rsidRPr="00012D9F">
        <w:rPr>
          <w:rFonts w:ascii="Times New Roman" w:hAnsi="Times New Roman" w:cs="Times New Roman"/>
          <w:sz w:val="24"/>
          <w:szCs w:val="24"/>
        </w:rPr>
        <w:t>Документът комбинира политическата визия и приоритети в областта на околната среда (политиката) с конкретна стратегия за тяхната реализация (стратегията).</w:t>
      </w:r>
    </w:p>
    <w:p w14:paraId="55807A43" w14:textId="77777777" w:rsidR="007E4AF6" w:rsidRPr="00012D9F" w:rsidRDefault="007E4AF6" w:rsidP="007E4AF6">
      <w:pPr>
        <w:spacing w:after="0" w:line="276" w:lineRule="auto"/>
        <w:jc w:val="both"/>
        <w:rPr>
          <w:rFonts w:ascii="Times New Roman" w:hAnsi="Times New Roman" w:cs="Times New Roman"/>
          <w:sz w:val="24"/>
          <w:szCs w:val="24"/>
        </w:rPr>
      </w:pPr>
    </w:p>
    <w:p w14:paraId="3CDF2DF0" w14:textId="77777777" w:rsidR="007E4AF6" w:rsidRPr="00012D9F" w:rsidRDefault="007E4AF6" w:rsidP="007E4AF6">
      <w:pPr>
        <w:pStyle w:val="ListParagraph"/>
        <w:numPr>
          <w:ilvl w:val="0"/>
          <w:numId w:val="62"/>
        </w:numPr>
        <w:spacing w:after="0" w:line="276" w:lineRule="auto"/>
        <w:ind w:left="851"/>
        <w:jc w:val="both"/>
        <w:rPr>
          <w:rFonts w:ascii="Times New Roman" w:hAnsi="Times New Roman" w:cs="Times New Roman"/>
          <w:b/>
          <w:bCs/>
          <w:i/>
          <w:iCs/>
          <w:sz w:val="24"/>
          <w:szCs w:val="24"/>
        </w:rPr>
      </w:pPr>
      <w:r w:rsidRPr="00012D9F">
        <w:rPr>
          <w:rFonts w:ascii="Times New Roman" w:hAnsi="Times New Roman" w:cs="Times New Roman"/>
          <w:b/>
          <w:bCs/>
          <w:i/>
          <w:iCs/>
          <w:sz w:val="24"/>
          <w:szCs w:val="24"/>
        </w:rPr>
        <w:t>Национална програма за контрол на замърсяването на въздуха (2020 - 2030 г.)</w:t>
      </w:r>
    </w:p>
    <w:p w14:paraId="58F2229C" w14:textId="77777777" w:rsidR="007E4AF6" w:rsidRPr="00012D9F" w:rsidRDefault="007E4AF6" w:rsidP="007E4AF6">
      <w:pPr>
        <w:spacing w:after="0" w:line="276" w:lineRule="auto"/>
        <w:ind w:firstLine="491"/>
        <w:jc w:val="both"/>
        <w:rPr>
          <w:rFonts w:ascii="Times New Roman" w:hAnsi="Times New Roman" w:cs="Times New Roman"/>
          <w:sz w:val="24"/>
          <w:szCs w:val="24"/>
        </w:rPr>
      </w:pPr>
      <w:r w:rsidRPr="00012D9F">
        <w:rPr>
          <w:rFonts w:ascii="Times New Roman" w:hAnsi="Times New Roman" w:cs="Times New Roman"/>
          <w:sz w:val="24"/>
          <w:szCs w:val="24"/>
        </w:rPr>
        <w:t xml:space="preserve">Документът е приет с Решение № 541 на Министерския съвет от 13.09.2019 г. и е валиден до края на 2030 г. </w:t>
      </w:r>
    </w:p>
    <w:p w14:paraId="5C268D04" w14:textId="77777777" w:rsidR="007E4AF6" w:rsidRPr="00012D9F" w:rsidRDefault="007E4AF6" w:rsidP="007E4AF6">
      <w:pPr>
        <w:spacing w:after="0" w:line="276" w:lineRule="auto"/>
        <w:ind w:firstLine="720"/>
        <w:jc w:val="both"/>
        <w:rPr>
          <w:rFonts w:ascii="Times New Roman" w:hAnsi="Times New Roman" w:cs="Times New Roman"/>
          <w:sz w:val="24"/>
          <w:szCs w:val="24"/>
        </w:rPr>
      </w:pPr>
      <w:r w:rsidRPr="00012D9F">
        <w:rPr>
          <w:rFonts w:ascii="Times New Roman" w:hAnsi="Times New Roman" w:cs="Times New Roman"/>
          <w:sz w:val="24"/>
          <w:szCs w:val="24"/>
        </w:rPr>
        <w:t xml:space="preserve">Разработването на програмата е в изпълнение на чл.6 от Директива (ЕС) 2016/2284 на Европейския парламент и на Съвета от 14 декември 2016 година за намаляване на националните емисии на някои атмосферни замърсители, за изменение на Директива 2003/35/ЕО и за отмяна на Директива 2001/81/ЕО (Директива (ЕС) 2016/2284). </w:t>
      </w:r>
    </w:p>
    <w:p w14:paraId="4DFCC432" w14:textId="77777777" w:rsidR="007E4AF6" w:rsidRPr="00012D9F" w:rsidRDefault="007E4AF6" w:rsidP="007E4AF6">
      <w:pPr>
        <w:spacing w:after="0" w:line="276" w:lineRule="auto"/>
        <w:jc w:val="both"/>
        <w:rPr>
          <w:rFonts w:ascii="Times New Roman" w:hAnsi="Times New Roman" w:cs="Times New Roman"/>
          <w:sz w:val="24"/>
          <w:szCs w:val="24"/>
        </w:rPr>
      </w:pPr>
      <w:r w:rsidRPr="00012D9F">
        <w:rPr>
          <w:rFonts w:ascii="Times New Roman" w:hAnsi="Times New Roman" w:cs="Times New Roman"/>
          <w:sz w:val="24"/>
          <w:szCs w:val="24"/>
        </w:rPr>
        <w:t xml:space="preserve"> </w:t>
      </w:r>
      <w:r w:rsidRPr="00012D9F">
        <w:rPr>
          <w:rFonts w:ascii="Times New Roman" w:hAnsi="Times New Roman" w:cs="Times New Roman"/>
          <w:sz w:val="24"/>
          <w:szCs w:val="24"/>
        </w:rPr>
        <w:tab/>
        <w:t>Основната цел на програмата е да изпълни задълженията за намаляване към 2020 г. и 2030 г. на общите годишни антропогенни емисии на следните замърсители на атмосферния въздух: серен диоксид (SO</w:t>
      </w:r>
      <w:r w:rsidRPr="00012D9F">
        <w:rPr>
          <w:rFonts w:ascii="Times New Roman" w:hAnsi="Times New Roman" w:cs="Times New Roman"/>
          <w:sz w:val="24"/>
          <w:szCs w:val="24"/>
          <w:vertAlign w:val="subscript"/>
        </w:rPr>
        <w:t>2</w:t>
      </w:r>
      <w:r w:rsidRPr="00012D9F">
        <w:rPr>
          <w:rFonts w:ascii="Times New Roman" w:hAnsi="Times New Roman" w:cs="Times New Roman"/>
          <w:sz w:val="24"/>
          <w:szCs w:val="24"/>
        </w:rPr>
        <w:t xml:space="preserve">), азотни оксиди (NOx), неметанови летливи </w:t>
      </w:r>
      <w:r w:rsidRPr="00012D9F">
        <w:rPr>
          <w:rFonts w:ascii="Times New Roman" w:hAnsi="Times New Roman" w:cs="Times New Roman"/>
          <w:sz w:val="24"/>
          <w:szCs w:val="24"/>
        </w:rPr>
        <w:lastRenderedPageBreak/>
        <w:t>органични съединения (НМЛОС), амоняк (NH</w:t>
      </w:r>
      <w:r w:rsidRPr="00012D9F">
        <w:rPr>
          <w:rFonts w:ascii="Times New Roman" w:hAnsi="Times New Roman" w:cs="Times New Roman"/>
          <w:sz w:val="24"/>
          <w:szCs w:val="24"/>
          <w:vertAlign w:val="subscript"/>
        </w:rPr>
        <w:t>3</w:t>
      </w:r>
      <w:r w:rsidRPr="00012D9F">
        <w:rPr>
          <w:rFonts w:ascii="Times New Roman" w:hAnsi="Times New Roman" w:cs="Times New Roman"/>
          <w:sz w:val="24"/>
          <w:szCs w:val="24"/>
        </w:rPr>
        <w:t xml:space="preserve">) и фини прахови частици (ФПЧ2.5), спрямо емисиите за определената в Директива (ЕС) 2016/2284 за базова 2005 г. </w:t>
      </w:r>
    </w:p>
    <w:p w14:paraId="64A021BF" w14:textId="5D6646A5" w:rsidR="007E4AF6" w:rsidRPr="00012D9F" w:rsidRDefault="007E4AF6" w:rsidP="007E4AF6">
      <w:pPr>
        <w:spacing w:after="0" w:line="276" w:lineRule="auto"/>
        <w:jc w:val="both"/>
        <w:rPr>
          <w:rFonts w:ascii="Times New Roman" w:hAnsi="Times New Roman" w:cs="Times New Roman"/>
          <w:sz w:val="24"/>
          <w:szCs w:val="24"/>
        </w:rPr>
      </w:pPr>
      <w:r w:rsidRPr="00012D9F">
        <w:rPr>
          <w:rFonts w:ascii="Times New Roman" w:hAnsi="Times New Roman" w:cs="Times New Roman"/>
          <w:sz w:val="24"/>
          <w:szCs w:val="24"/>
        </w:rPr>
        <w:t xml:space="preserve"> </w:t>
      </w:r>
      <w:r w:rsidRPr="00012D9F">
        <w:rPr>
          <w:rFonts w:ascii="Times New Roman" w:hAnsi="Times New Roman" w:cs="Times New Roman"/>
          <w:sz w:val="24"/>
          <w:szCs w:val="24"/>
        </w:rPr>
        <w:tab/>
      </w:r>
    </w:p>
    <w:p w14:paraId="6E3B83A3" w14:textId="33C4AB47" w:rsidR="007E4AF6" w:rsidRPr="00012D9F" w:rsidRDefault="007E4AF6" w:rsidP="007E4AF6">
      <w:pPr>
        <w:pStyle w:val="ListParagraph"/>
        <w:numPr>
          <w:ilvl w:val="0"/>
          <w:numId w:val="63"/>
        </w:numPr>
        <w:spacing w:after="0" w:line="276" w:lineRule="auto"/>
        <w:jc w:val="both"/>
        <w:rPr>
          <w:rFonts w:ascii="Times New Roman" w:hAnsi="Times New Roman" w:cs="Times New Roman"/>
          <w:sz w:val="24"/>
          <w:szCs w:val="24"/>
        </w:rPr>
      </w:pPr>
      <w:r w:rsidRPr="00012D9F">
        <w:rPr>
          <w:rFonts w:ascii="Times New Roman" w:hAnsi="Times New Roman" w:cs="Times New Roman"/>
          <w:b/>
          <w:bCs/>
          <w:i/>
          <w:iCs/>
          <w:sz w:val="24"/>
          <w:szCs w:val="24"/>
        </w:rPr>
        <w:t>План</w:t>
      </w:r>
      <w:r>
        <w:rPr>
          <w:rFonts w:ascii="Times New Roman" w:hAnsi="Times New Roman" w:cs="Times New Roman"/>
          <w:b/>
          <w:bCs/>
          <w:i/>
          <w:iCs/>
          <w:sz w:val="24"/>
          <w:szCs w:val="24"/>
        </w:rPr>
        <w:t>ове</w:t>
      </w:r>
      <w:r w:rsidRPr="00012D9F">
        <w:rPr>
          <w:rFonts w:ascii="Times New Roman" w:hAnsi="Times New Roman" w:cs="Times New Roman"/>
          <w:b/>
          <w:bCs/>
          <w:i/>
          <w:iCs/>
          <w:sz w:val="24"/>
          <w:szCs w:val="24"/>
        </w:rPr>
        <w:t xml:space="preserve"> за управление на речните басейни в </w:t>
      </w:r>
      <w:r>
        <w:rPr>
          <w:rFonts w:ascii="Times New Roman" w:hAnsi="Times New Roman" w:cs="Times New Roman"/>
          <w:b/>
          <w:bCs/>
          <w:i/>
          <w:iCs/>
          <w:sz w:val="24"/>
          <w:szCs w:val="24"/>
        </w:rPr>
        <w:t xml:space="preserve">четирите </w:t>
      </w:r>
      <w:r w:rsidRPr="00012D9F">
        <w:rPr>
          <w:rFonts w:ascii="Times New Roman" w:hAnsi="Times New Roman" w:cs="Times New Roman"/>
          <w:b/>
          <w:bCs/>
          <w:i/>
          <w:iCs/>
          <w:sz w:val="24"/>
          <w:szCs w:val="24"/>
        </w:rPr>
        <w:t>район</w:t>
      </w:r>
      <w:r>
        <w:rPr>
          <w:rFonts w:ascii="Times New Roman" w:hAnsi="Times New Roman" w:cs="Times New Roman"/>
          <w:b/>
          <w:bCs/>
          <w:i/>
          <w:iCs/>
          <w:sz w:val="24"/>
          <w:szCs w:val="24"/>
        </w:rPr>
        <w:t>а</w:t>
      </w:r>
      <w:r w:rsidRPr="00012D9F">
        <w:rPr>
          <w:rFonts w:ascii="Times New Roman" w:hAnsi="Times New Roman" w:cs="Times New Roman"/>
          <w:b/>
          <w:bCs/>
          <w:i/>
          <w:iCs/>
          <w:sz w:val="24"/>
          <w:szCs w:val="24"/>
        </w:rPr>
        <w:t xml:space="preserve"> за басейново управление </w:t>
      </w:r>
      <w:r>
        <w:rPr>
          <w:rFonts w:ascii="Times New Roman" w:hAnsi="Times New Roman" w:cs="Times New Roman"/>
          <w:b/>
          <w:bCs/>
          <w:i/>
          <w:iCs/>
          <w:sz w:val="24"/>
          <w:szCs w:val="24"/>
        </w:rPr>
        <w:t xml:space="preserve">на водите </w:t>
      </w:r>
      <w:r w:rsidRPr="00012D9F">
        <w:rPr>
          <w:rFonts w:ascii="Times New Roman" w:hAnsi="Times New Roman" w:cs="Times New Roman"/>
          <w:b/>
          <w:bCs/>
          <w:i/>
          <w:iCs/>
          <w:sz w:val="24"/>
          <w:szCs w:val="24"/>
        </w:rPr>
        <w:t>2022-2027 г.</w:t>
      </w:r>
      <w:r>
        <w:rPr>
          <w:rFonts w:ascii="Times New Roman" w:hAnsi="Times New Roman" w:cs="Times New Roman"/>
          <w:b/>
          <w:bCs/>
          <w:i/>
          <w:iCs/>
          <w:sz w:val="24"/>
          <w:szCs w:val="24"/>
        </w:rPr>
        <w:t xml:space="preserve"> – Дунавски, Западнобеломорски, Източнобеломорски и Черноморски.</w:t>
      </w:r>
    </w:p>
    <w:p w14:paraId="3B4F3CEB" w14:textId="77777777" w:rsidR="007E4AF6" w:rsidRPr="00012D9F" w:rsidRDefault="007E4AF6" w:rsidP="007E4AF6">
      <w:pPr>
        <w:spacing w:after="0" w:line="276" w:lineRule="auto"/>
        <w:ind w:firstLine="709"/>
        <w:jc w:val="both"/>
        <w:rPr>
          <w:rFonts w:ascii="Times New Roman" w:hAnsi="Times New Roman" w:cs="Times New Roman"/>
          <w:sz w:val="24"/>
          <w:szCs w:val="24"/>
        </w:rPr>
      </w:pPr>
      <w:r w:rsidRPr="00012D9F">
        <w:rPr>
          <w:rFonts w:ascii="Times New Roman" w:hAnsi="Times New Roman" w:cs="Times New Roman"/>
          <w:sz w:val="24"/>
          <w:szCs w:val="24"/>
        </w:rPr>
        <w:t>ПУРБ определя рамката на интегрираното управление на водите на басейново ниво и включва програма от мерки за постигане на целите за опазване на околната среда. В ПУРБ е залегнал принципът за опазване на повърхностните и подземните води от изтощаване, замърсяване и увреждане с цел поддържане на необходимото количество и качество на водите и здравословна околна среда, съхраняване на екосистемите, запазване на ландшафта и предотвратяване на стопански щети.</w:t>
      </w:r>
    </w:p>
    <w:p w14:paraId="69E0CEF9" w14:textId="340D53E0" w:rsidR="007E4AF6" w:rsidRPr="00012D9F" w:rsidRDefault="007E4AF6" w:rsidP="007E4AF6">
      <w:pPr>
        <w:spacing w:after="0" w:line="276" w:lineRule="auto"/>
        <w:ind w:firstLine="709"/>
        <w:jc w:val="both"/>
        <w:rPr>
          <w:rFonts w:ascii="Times New Roman" w:hAnsi="Times New Roman" w:cs="Times New Roman"/>
          <w:sz w:val="24"/>
          <w:szCs w:val="24"/>
        </w:rPr>
      </w:pPr>
      <w:r w:rsidRPr="00012D9F">
        <w:rPr>
          <w:rFonts w:ascii="Times New Roman" w:hAnsi="Times New Roman" w:cs="Times New Roman"/>
          <w:sz w:val="24"/>
          <w:szCs w:val="24"/>
        </w:rPr>
        <w:t xml:space="preserve">Данните от </w:t>
      </w:r>
      <w:r>
        <w:rPr>
          <w:rFonts w:ascii="Times New Roman" w:hAnsi="Times New Roman" w:cs="Times New Roman"/>
          <w:sz w:val="24"/>
          <w:szCs w:val="24"/>
        </w:rPr>
        <w:t xml:space="preserve">четирите </w:t>
      </w:r>
      <w:r w:rsidRPr="00012D9F">
        <w:rPr>
          <w:rFonts w:ascii="Times New Roman" w:hAnsi="Times New Roman" w:cs="Times New Roman"/>
          <w:sz w:val="24"/>
          <w:szCs w:val="24"/>
        </w:rPr>
        <w:t>ПУРБ</w:t>
      </w:r>
      <w:r>
        <w:rPr>
          <w:rFonts w:ascii="Times New Roman" w:hAnsi="Times New Roman" w:cs="Times New Roman"/>
          <w:sz w:val="24"/>
          <w:szCs w:val="24"/>
        </w:rPr>
        <w:t>-а</w:t>
      </w:r>
      <w:r w:rsidRPr="00012D9F">
        <w:rPr>
          <w:rFonts w:ascii="Times New Roman" w:hAnsi="Times New Roman" w:cs="Times New Roman"/>
          <w:sz w:val="24"/>
          <w:szCs w:val="24"/>
        </w:rPr>
        <w:t xml:space="preserve"> ще бъдат съобразени и използвани при извършване на анализите и оценките на въздействието на </w:t>
      </w:r>
      <w:r>
        <w:rPr>
          <w:rFonts w:ascii="Times New Roman" w:hAnsi="Times New Roman" w:cs="Times New Roman"/>
          <w:sz w:val="24"/>
          <w:szCs w:val="24"/>
        </w:rPr>
        <w:t>ИПЕК</w:t>
      </w:r>
      <w:r w:rsidRPr="00012D9F">
        <w:rPr>
          <w:rFonts w:ascii="Times New Roman" w:hAnsi="Times New Roman" w:cs="Times New Roman"/>
          <w:sz w:val="24"/>
          <w:szCs w:val="24"/>
        </w:rPr>
        <w:t xml:space="preserve"> върху водите.</w:t>
      </w:r>
    </w:p>
    <w:p w14:paraId="70710ADC" w14:textId="77777777" w:rsidR="007E4AF6" w:rsidRPr="00012D9F" w:rsidRDefault="007E4AF6" w:rsidP="007E4AF6">
      <w:pPr>
        <w:spacing w:after="0" w:line="276" w:lineRule="auto"/>
        <w:jc w:val="both"/>
        <w:rPr>
          <w:rFonts w:ascii="Times New Roman" w:hAnsi="Times New Roman" w:cs="Times New Roman"/>
          <w:sz w:val="24"/>
          <w:szCs w:val="24"/>
        </w:rPr>
      </w:pPr>
    </w:p>
    <w:p w14:paraId="018E0E47" w14:textId="09841865" w:rsidR="007E4AF6" w:rsidRPr="00012D9F" w:rsidRDefault="007E4AF6" w:rsidP="007E4AF6">
      <w:pPr>
        <w:pStyle w:val="ListParagraph"/>
        <w:numPr>
          <w:ilvl w:val="0"/>
          <w:numId w:val="63"/>
        </w:numPr>
        <w:spacing w:after="0" w:line="276" w:lineRule="auto"/>
        <w:jc w:val="both"/>
        <w:rPr>
          <w:rFonts w:ascii="Times New Roman" w:hAnsi="Times New Roman" w:cs="Times New Roman"/>
          <w:sz w:val="24"/>
          <w:szCs w:val="24"/>
        </w:rPr>
      </w:pPr>
      <w:r w:rsidRPr="00012D9F">
        <w:rPr>
          <w:rFonts w:ascii="Times New Roman" w:hAnsi="Times New Roman" w:cs="Times New Roman"/>
          <w:b/>
          <w:bCs/>
          <w:i/>
          <w:iCs/>
          <w:sz w:val="24"/>
          <w:szCs w:val="24"/>
        </w:rPr>
        <w:t>План</w:t>
      </w:r>
      <w:r w:rsidR="00A738E5">
        <w:rPr>
          <w:rFonts w:ascii="Times New Roman" w:hAnsi="Times New Roman" w:cs="Times New Roman"/>
          <w:b/>
          <w:bCs/>
          <w:i/>
          <w:iCs/>
          <w:sz w:val="24"/>
          <w:szCs w:val="24"/>
        </w:rPr>
        <w:t>ове</w:t>
      </w:r>
      <w:r w:rsidRPr="00012D9F">
        <w:rPr>
          <w:rFonts w:ascii="Times New Roman" w:hAnsi="Times New Roman" w:cs="Times New Roman"/>
          <w:b/>
          <w:bCs/>
          <w:i/>
          <w:iCs/>
          <w:sz w:val="24"/>
          <w:szCs w:val="24"/>
        </w:rPr>
        <w:t xml:space="preserve"> за управление на риска от наводнения в </w:t>
      </w:r>
      <w:r>
        <w:rPr>
          <w:rFonts w:ascii="Times New Roman" w:hAnsi="Times New Roman" w:cs="Times New Roman"/>
          <w:b/>
          <w:bCs/>
          <w:i/>
          <w:iCs/>
          <w:sz w:val="24"/>
          <w:szCs w:val="24"/>
        </w:rPr>
        <w:t xml:space="preserve">четирите </w:t>
      </w:r>
      <w:r w:rsidRPr="00012D9F">
        <w:rPr>
          <w:rFonts w:ascii="Times New Roman" w:hAnsi="Times New Roman" w:cs="Times New Roman"/>
          <w:b/>
          <w:bCs/>
          <w:i/>
          <w:iCs/>
          <w:sz w:val="24"/>
          <w:szCs w:val="24"/>
        </w:rPr>
        <w:t>район</w:t>
      </w:r>
      <w:r>
        <w:rPr>
          <w:rFonts w:ascii="Times New Roman" w:hAnsi="Times New Roman" w:cs="Times New Roman"/>
          <w:b/>
          <w:bCs/>
          <w:i/>
          <w:iCs/>
          <w:sz w:val="24"/>
          <w:szCs w:val="24"/>
        </w:rPr>
        <w:t>а</w:t>
      </w:r>
      <w:r w:rsidRPr="00012D9F">
        <w:rPr>
          <w:rFonts w:ascii="Times New Roman" w:hAnsi="Times New Roman" w:cs="Times New Roman"/>
          <w:b/>
          <w:bCs/>
          <w:i/>
          <w:iCs/>
          <w:sz w:val="24"/>
          <w:szCs w:val="24"/>
        </w:rPr>
        <w:t xml:space="preserve"> за басейново управление </w:t>
      </w:r>
      <w:r>
        <w:rPr>
          <w:rFonts w:ascii="Times New Roman" w:hAnsi="Times New Roman" w:cs="Times New Roman"/>
          <w:b/>
          <w:bCs/>
          <w:i/>
          <w:iCs/>
          <w:sz w:val="24"/>
          <w:szCs w:val="24"/>
        </w:rPr>
        <w:t xml:space="preserve">на водите </w:t>
      </w:r>
      <w:r w:rsidRPr="00012D9F">
        <w:rPr>
          <w:rFonts w:ascii="Times New Roman" w:hAnsi="Times New Roman" w:cs="Times New Roman"/>
          <w:b/>
          <w:bCs/>
          <w:i/>
          <w:iCs/>
          <w:sz w:val="24"/>
          <w:szCs w:val="24"/>
        </w:rPr>
        <w:t>2022-2027 г.</w:t>
      </w:r>
      <w:r>
        <w:rPr>
          <w:rFonts w:ascii="Times New Roman" w:hAnsi="Times New Roman" w:cs="Times New Roman"/>
          <w:b/>
          <w:bCs/>
          <w:i/>
          <w:iCs/>
          <w:sz w:val="24"/>
          <w:szCs w:val="24"/>
        </w:rPr>
        <w:t xml:space="preserve"> – Дунавски, Западнобеломорски, Източнобеломорски и Черноморски.</w:t>
      </w:r>
    </w:p>
    <w:p w14:paraId="12122233" w14:textId="4327DE11" w:rsidR="002C1C24" w:rsidRDefault="002C1C24" w:rsidP="002C1C24">
      <w:pPr>
        <w:spacing w:after="0" w:line="276" w:lineRule="auto"/>
        <w:ind w:firstLine="720"/>
        <w:jc w:val="both"/>
        <w:rPr>
          <w:rFonts w:ascii="Times New Roman" w:hAnsi="Times New Roman" w:cs="Times New Roman"/>
          <w:sz w:val="24"/>
          <w:szCs w:val="24"/>
        </w:rPr>
      </w:pPr>
      <w:r w:rsidRPr="002C1C24">
        <w:rPr>
          <w:rFonts w:ascii="Times New Roman" w:hAnsi="Times New Roman" w:cs="Times New Roman"/>
          <w:sz w:val="24"/>
          <w:szCs w:val="24"/>
        </w:rPr>
        <w:t xml:space="preserve">ПУРН </w:t>
      </w:r>
      <w:r>
        <w:rPr>
          <w:rFonts w:ascii="Times New Roman" w:hAnsi="Times New Roman" w:cs="Times New Roman"/>
          <w:sz w:val="24"/>
          <w:szCs w:val="24"/>
        </w:rPr>
        <w:t>се</w:t>
      </w:r>
      <w:r w:rsidRPr="002C1C24">
        <w:rPr>
          <w:rFonts w:ascii="Times New Roman" w:hAnsi="Times New Roman" w:cs="Times New Roman"/>
          <w:sz w:val="24"/>
          <w:szCs w:val="24"/>
        </w:rPr>
        <w:t xml:space="preserve"> разработ</w:t>
      </w:r>
      <w:r>
        <w:rPr>
          <w:rFonts w:ascii="Times New Roman" w:hAnsi="Times New Roman" w:cs="Times New Roman"/>
          <w:sz w:val="24"/>
          <w:szCs w:val="24"/>
        </w:rPr>
        <w:t>ва</w:t>
      </w:r>
      <w:r w:rsidRPr="002C1C24">
        <w:rPr>
          <w:rFonts w:ascii="Times New Roman" w:hAnsi="Times New Roman" w:cs="Times New Roman"/>
          <w:sz w:val="24"/>
          <w:szCs w:val="24"/>
        </w:rPr>
        <w:t xml:space="preserve"> в съответствие с изискванията на Директива 2007/60/ЕО на Европейския</w:t>
      </w:r>
      <w:r>
        <w:rPr>
          <w:rFonts w:ascii="Times New Roman" w:hAnsi="Times New Roman" w:cs="Times New Roman"/>
          <w:sz w:val="24"/>
          <w:szCs w:val="24"/>
        </w:rPr>
        <w:t xml:space="preserve"> </w:t>
      </w:r>
      <w:r w:rsidRPr="002C1C24">
        <w:rPr>
          <w:rFonts w:ascii="Times New Roman" w:hAnsi="Times New Roman" w:cs="Times New Roman"/>
          <w:sz w:val="24"/>
          <w:szCs w:val="24"/>
        </w:rPr>
        <w:t>парламент и на Съвета относно оценката и управлението на риска от наводнения (Директивата за</w:t>
      </w:r>
      <w:r>
        <w:rPr>
          <w:rFonts w:ascii="Times New Roman" w:hAnsi="Times New Roman" w:cs="Times New Roman"/>
          <w:sz w:val="24"/>
          <w:szCs w:val="24"/>
        </w:rPr>
        <w:t xml:space="preserve"> </w:t>
      </w:r>
      <w:r w:rsidRPr="002C1C24">
        <w:rPr>
          <w:rFonts w:ascii="Times New Roman" w:hAnsi="Times New Roman" w:cs="Times New Roman"/>
          <w:sz w:val="24"/>
          <w:szCs w:val="24"/>
        </w:rPr>
        <w:t>наводненията) и съответните разпоредби на Закона за водите на Република България.</w:t>
      </w:r>
      <w:r w:rsidRPr="002C1C24">
        <w:t xml:space="preserve"> </w:t>
      </w:r>
      <w:r w:rsidRPr="002C1C24">
        <w:rPr>
          <w:rFonts w:ascii="Times New Roman" w:hAnsi="Times New Roman" w:cs="Times New Roman"/>
          <w:sz w:val="24"/>
          <w:szCs w:val="24"/>
        </w:rPr>
        <w:t>Плановете за управление на риска от наводнения разглеждат всички аспекти на управлението на</w:t>
      </w:r>
      <w:r>
        <w:rPr>
          <w:rFonts w:ascii="Times New Roman" w:hAnsi="Times New Roman" w:cs="Times New Roman"/>
          <w:sz w:val="24"/>
          <w:szCs w:val="24"/>
        </w:rPr>
        <w:t xml:space="preserve"> </w:t>
      </w:r>
      <w:r w:rsidRPr="002C1C24">
        <w:rPr>
          <w:rFonts w:ascii="Times New Roman" w:hAnsi="Times New Roman" w:cs="Times New Roman"/>
          <w:sz w:val="24"/>
          <w:szCs w:val="24"/>
        </w:rPr>
        <w:t>риска, като се съсредоточават върху предотвратяването, защитата, подготвеността, включително</w:t>
      </w:r>
      <w:r>
        <w:rPr>
          <w:rFonts w:ascii="Times New Roman" w:hAnsi="Times New Roman" w:cs="Times New Roman"/>
          <w:sz w:val="24"/>
          <w:szCs w:val="24"/>
        </w:rPr>
        <w:t xml:space="preserve"> </w:t>
      </w:r>
      <w:r w:rsidRPr="002C1C24">
        <w:rPr>
          <w:rFonts w:ascii="Times New Roman" w:hAnsi="Times New Roman" w:cs="Times New Roman"/>
          <w:sz w:val="24"/>
          <w:szCs w:val="24"/>
        </w:rPr>
        <w:t>прогнозите за наводнения и системите за ранно предупреждение, и отчитат характеристиките на</w:t>
      </w:r>
      <w:r>
        <w:rPr>
          <w:rFonts w:ascii="Times New Roman" w:hAnsi="Times New Roman" w:cs="Times New Roman"/>
          <w:sz w:val="24"/>
          <w:szCs w:val="24"/>
        </w:rPr>
        <w:t xml:space="preserve"> </w:t>
      </w:r>
      <w:r w:rsidRPr="002C1C24">
        <w:rPr>
          <w:rFonts w:ascii="Times New Roman" w:hAnsi="Times New Roman" w:cs="Times New Roman"/>
          <w:sz w:val="24"/>
          <w:szCs w:val="24"/>
        </w:rPr>
        <w:t>конкретния речен басейн или подбасейн.</w:t>
      </w:r>
    </w:p>
    <w:p w14:paraId="02A0F6C7" w14:textId="4CF32BDE" w:rsidR="002C1C24" w:rsidRPr="00012D9F" w:rsidRDefault="002C1C24" w:rsidP="002C1C24">
      <w:pPr>
        <w:spacing w:after="0" w:line="276" w:lineRule="auto"/>
        <w:ind w:firstLine="709"/>
        <w:jc w:val="both"/>
        <w:rPr>
          <w:rFonts w:ascii="Times New Roman" w:hAnsi="Times New Roman" w:cs="Times New Roman"/>
          <w:sz w:val="24"/>
          <w:szCs w:val="24"/>
        </w:rPr>
      </w:pPr>
      <w:r w:rsidRPr="00012D9F">
        <w:rPr>
          <w:rFonts w:ascii="Times New Roman" w:hAnsi="Times New Roman" w:cs="Times New Roman"/>
          <w:sz w:val="24"/>
          <w:szCs w:val="24"/>
        </w:rPr>
        <w:t xml:space="preserve">Данните от </w:t>
      </w:r>
      <w:r>
        <w:rPr>
          <w:rFonts w:ascii="Times New Roman" w:hAnsi="Times New Roman" w:cs="Times New Roman"/>
          <w:sz w:val="24"/>
          <w:szCs w:val="24"/>
        </w:rPr>
        <w:t xml:space="preserve">четирите </w:t>
      </w:r>
      <w:r w:rsidRPr="00012D9F">
        <w:rPr>
          <w:rFonts w:ascii="Times New Roman" w:hAnsi="Times New Roman" w:cs="Times New Roman"/>
          <w:sz w:val="24"/>
          <w:szCs w:val="24"/>
        </w:rPr>
        <w:t>ПУР</w:t>
      </w:r>
      <w:r w:rsidR="00BF35D5">
        <w:rPr>
          <w:rFonts w:ascii="Times New Roman" w:hAnsi="Times New Roman" w:cs="Times New Roman"/>
          <w:sz w:val="24"/>
          <w:szCs w:val="24"/>
        </w:rPr>
        <w:t>Н</w:t>
      </w:r>
      <w:r>
        <w:rPr>
          <w:rFonts w:ascii="Times New Roman" w:hAnsi="Times New Roman" w:cs="Times New Roman"/>
          <w:sz w:val="24"/>
          <w:szCs w:val="24"/>
        </w:rPr>
        <w:t>-а</w:t>
      </w:r>
      <w:r w:rsidRPr="00012D9F">
        <w:rPr>
          <w:rFonts w:ascii="Times New Roman" w:hAnsi="Times New Roman" w:cs="Times New Roman"/>
          <w:sz w:val="24"/>
          <w:szCs w:val="24"/>
        </w:rPr>
        <w:t xml:space="preserve"> ще бъдат съобразени и използвани при извършване на анализите и оценките на въздействието на </w:t>
      </w:r>
      <w:r>
        <w:rPr>
          <w:rFonts w:ascii="Times New Roman" w:hAnsi="Times New Roman" w:cs="Times New Roman"/>
          <w:sz w:val="24"/>
          <w:szCs w:val="24"/>
        </w:rPr>
        <w:t>ИПЕК</w:t>
      </w:r>
      <w:r w:rsidRPr="00012D9F">
        <w:rPr>
          <w:rFonts w:ascii="Times New Roman" w:hAnsi="Times New Roman" w:cs="Times New Roman"/>
          <w:sz w:val="24"/>
          <w:szCs w:val="24"/>
        </w:rPr>
        <w:t xml:space="preserve"> върху водите.</w:t>
      </w:r>
    </w:p>
    <w:p w14:paraId="2D993CE4" w14:textId="77777777" w:rsidR="007E4AF6" w:rsidRDefault="007E4AF6" w:rsidP="007E4AF6">
      <w:pPr>
        <w:spacing w:after="0" w:line="276" w:lineRule="auto"/>
        <w:jc w:val="both"/>
        <w:rPr>
          <w:rFonts w:ascii="Times New Roman" w:hAnsi="Times New Roman" w:cs="Times New Roman"/>
          <w:sz w:val="24"/>
          <w:szCs w:val="24"/>
        </w:rPr>
      </w:pPr>
    </w:p>
    <w:p w14:paraId="60A34CF9" w14:textId="77777777" w:rsidR="00E510E6" w:rsidRPr="00012D9F" w:rsidRDefault="00E510E6" w:rsidP="00E510E6">
      <w:pPr>
        <w:pStyle w:val="ListParagraph"/>
        <w:numPr>
          <w:ilvl w:val="0"/>
          <w:numId w:val="61"/>
        </w:numPr>
        <w:spacing w:after="0" w:line="276" w:lineRule="auto"/>
        <w:ind w:left="709"/>
        <w:jc w:val="both"/>
        <w:rPr>
          <w:rFonts w:ascii="Times New Roman" w:hAnsi="Times New Roman" w:cs="Times New Roman"/>
          <w:b/>
          <w:bCs/>
          <w:i/>
          <w:iCs/>
          <w:sz w:val="24"/>
          <w:szCs w:val="24"/>
        </w:rPr>
      </w:pPr>
      <w:r w:rsidRPr="00012D9F">
        <w:rPr>
          <w:rFonts w:ascii="Times New Roman" w:hAnsi="Times New Roman" w:cs="Times New Roman"/>
          <w:b/>
          <w:bCs/>
          <w:i/>
          <w:iCs/>
          <w:sz w:val="24"/>
          <w:szCs w:val="24"/>
        </w:rPr>
        <w:t>Национален план за управление на отпадъците за периода 2021 - 2028 г.</w:t>
      </w:r>
    </w:p>
    <w:p w14:paraId="73CCCD56" w14:textId="77777777" w:rsidR="00E510E6" w:rsidRDefault="00E510E6" w:rsidP="00E510E6">
      <w:pPr>
        <w:spacing w:after="0" w:line="276" w:lineRule="auto"/>
        <w:ind w:firstLine="709"/>
        <w:jc w:val="both"/>
      </w:pPr>
      <w:r w:rsidRPr="00012D9F">
        <w:rPr>
          <w:rFonts w:ascii="Times New Roman" w:hAnsi="Times New Roman" w:cs="Times New Roman"/>
          <w:sz w:val="24"/>
          <w:szCs w:val="24"/>
        </w:rPr>
        <w:t>Документът е приет с Решение № 459 на Министерския съвет от 17.06.2021 г. е валиден до края на 2028 г.</w:t>
      </w:r>
      <w:r w:rsidRPr="00012D9F">
        <w:t xml:space="preserve"> </w:t>
      </w:r>
    </w:p>
    <w:p w14:paraId="3E0547AD" w14:textId="77777777" w:rsidR="00F110A6" w:rsidRPr="00012D9F" w:rsidRDefault="00F110A6" w:rsidP="00E510E6">
      <w:pPr>
        <w:spacing w:after="0" w:line="276" w:lineRule="auto"/>
        <w:ind w:firstLine="709"/>
        <w:jc w:val="both"/>
      </w:pPr>
    </w:p>
    <w:p w14:paraId="458CE078" w14:textId="77777777" w:rsidR="00F110A6" w:rsidRPr="00F110A6" w:rsidRDefault="00F110A6" w:rsidP="00F110A6">
      <w:pPr>
        <w:pStyle w:val="ListParagraph"/>
        <w:numPr>
          <w:ilvl w:val="0"/>
          <w:numId w:val="61"/>
        </w:numPr>
        <w:spacing w:after="0" w:line="276" w:lineRule="auto"/>
        <w:ind w:left="709"/>
        <w:jc w:val="both"/>
        <w:rPr>
          <w:rFonts w:ascii="Times New Roman" w:hAnsi="Times New Roman" w:cs="Times New Roman"/>
          <w:b/>
          <w:bCs/>
          <w:i/>
          <w:iCs/>
          <w:sz w:val="24"/>
          <w:szCs w:val="24"/>
        </w:rPr>
      </w:pPr>
      <w:r w:rsidRPr="00F110A6">
        <w:rPr>
          <w:rFonts w:ascii="Times New Roman" w:hAnsi="Times New Roman" w:cs="Times New Roman"/>
          <w:b/>
          <w:bCs/>
          <w:i/>
          <w:iCs/>
          <w:sz w:val="24"/>
          <w:szCs w:val="24"/>
        </w:rPr>
        <w:t>Национална стратегия за опазване на биологичното разнообразие</w:t>
      </w:r>
    </w:p>
    <w:p w14:paraId="1384970B" w14:textId="444707E1" w:rsidR="00E510E6" w:rsidRDefault="00F110A6" w:rsidP="00F110A6">
      <w:pPr>
        <w:spacing w:after="0" w:line="276" w:lineRule="auto"/>
        <w:ind w:firstLine="709"/>
        <w:jc w:val="both"/>
        <w:rPr>
          <w:rFonts w:ascii="Times New Roman" w:hAnsi="Times New Roman" w:cs="Times New Roman"/>
          <w:sz w:val="24"/>
          <w:szCs w:val="24"/>
        </w:rPr>
      </w:pPr>
      <w:r w:rsidRPr="00F110A6">
        <w:rPr>
          <w:rFonts w:ascii="Times New Roman" w:hAnsi="Times New Roman" w:cs="Times New Roman"/>
          <w:sz w:val="24"/>
          <w:szCs w:val="24"/>
        </w:rPr>
        <w:t>Целта на стратегията е опазване, възстановяване и устойчиво управление на биологичното разнообразие в страната, както и ограничаване на загубата на биологично разнообразие.</w:t>
      </w:r>
    </w:p>
    <w:p w14:paraId="1177AADD" w14:textId="77777777" w:rsidR="00F110A6" w:rsidRDefault="00F110A6" w:rsidP="00F110A6">
      <w:pPr>
        <w:spacing w:after="0" w:line="276" w:lineRule="auto"/>
        <w:ind w:firstLine="709"/>
        <w:jc w:val="both"/>
        <w:rPr>
          <w:rFonts w:ascii="Times New Roman" w:hAnsi="Times New Roman" w:cs="Times New Roman"/>
          <w:sz w:val="24"/>
          <w:szCs w:val="24"/>
        </w:rPr>
      </w:pPr>
    </w:p>
    <w:p w14:paraId="42CE84AA" w14:textId="77777777" w:rsidR="00A738E5" w:rsidRPr="00012D9F" w:rsidRDefault="00A738E5" w:rsidP="00A738E5">
      <w:pPr>
        <w:pStyle w:val="ListParagraph"/>
        <w:numPr>
          <w:ilvl w:val="0"/>
          <w:numId w:val="67"/>
        </w:numPr>
        <w:spacing w:after="0" w:line="276" w:lineRule="auto"/>
        <w:ind w:left="709"/>
        <w:jc w:val="both"/>
        <w:rPr>
          <w:rFonts w:ascii="Times New Roman" w:hAnsi="Times New Roman" w:cs="Times New Roman"/>
          <w:b/>
          <w:bCs/>
          <w:i/>
          <w:iCs/>
          <w:sz w:val="24"/>
          <w:szCs w:val="24"/>
        </w:rPr>
      </w:pPr>
      <w:r w:rsidRPr="00012D9F">
        <w:rPr>
          <w:rFonts w:ascii="Times New Roman" w:hAnsi="Times New Roman" w:cs="Times New Roman"/>
          <w:b/>
          <w:bCs/>
          <w:i/>
          <w:iCs/>
          <w:sz w:val="24"/>
          <w:szCs w:val="24"/>
        </w:rPr>
        <w:t>Национална програма за развитие БЪЛГАРИЯ 2030</w:t>
      </w:r>
    </w:p>
    <w:p w14:paraId="33D66431" w14:textId="07C457EF" w:rsidR="00A738E5" w:rsidRDefault="00A738E5" w:rsidP="00A738E5">
      <w:pPr>
        <w:spacing w:after="0" w:line="276" w:lineRule="auto"/>
        <w:ind w:firstLine="709"/>
        <w:jc w:val="both"/>
        <w:rPr>
          <w:rFonts w:ascii="Times New Roman" w:hAnsi="Times New Roman" w:cs="Times New Roman"/>
          <w:sz w:val="24"/>
          <w:szCs w:val="24"/>
        </w:rPr>
      </w:pPr>
      <w:r w:rsidRPr="00012D9F">
        <w:rPr>
          <w:rFonts w:ascii="Times New Roman" w:hAnsi="Times New Roman" w:cs="Times New Roman"/>
          <w:sz w:val="24"/>
          <w:szCs w:val="24"/>
        </w:rPr>
        <w:t>Националната програма за развитие БЪЛГАРИЯ 2030 е приета с Протокол № 67 на Министерския съвет от 02.12.2020 г. Програмата е рамков стратегически документ от най-</w:t>
      </w:r>
      <w:r w:rsidRPr="00012D9F">
        <w:rPr>
          <w:rFonts w:ascii="Times New Roman" w:hAnsi="Times New Roman" w:cs="Times New Roman"/>
          <w:sz w:val="24"/>
          <w:szCs w:val="24"/>
        </w:rPr>
        <w:lastRenderedPageBreak/>
        <w:t>висок порядък в йерархията на националните програмни документи, определя визията и общите цели на политиките за развитие във всички сектори на държавното управление, включително техните териториални измерения. Документът стъпва върху одобрените с Решение № 33 на Министерския съвет от 20 януари 2020 г. визия, цели и приоритети на Националната програма за развитие БЪЛГАРИЯ 2030.</w:t>
      </w:r>
    </w:p>
    <w:p w14:paraId="2FB15039" w14:textId="77777777" w:rsidR="00A738E5" w:rsidRPr="00012D9F" w:rsidRDefault="00A738E5" w:rsidP="00A738E5">
      <w:pPr>
        <w:spacing w:after="0" w:line="276" w:lineRule="auto"/>
        <w:ind w:firstLine="709"/>
        <w:jc w:val="both"/>
        <w:rPr>
          <w:rFonts w:ascii="Times New Roman" w:hAnsi="Times New Roman" w:cs="Times New Roman"/>
          <w:sz w:val="24"/>
          <w:szCs w:val="24"/>
        </w:rPr>
      </w:pPr>
    </w:p>
    <w:p w14:paraId="6AC1B2B2" w14:textId="77777777" w:rsidR="007E4AF6" w:rsidRPr="00012D9F" w:rsidRDefault="007E4AF6" w:rsidP="007E4AF6">
      <w:pPr>
        <w:pStyle w:val="ListParagraph"/>
        <w:numPr>
          <w:ilvl w:val="0"/>
          <w:numId w:val="61"/>
        </w:numPr>
        <w:spacing w:after="0" w:line="276" w:lineRule="auto"/>
        <w:ind w:left="709"/>
        <w:jc w:val="both"/>
        <w:rPr>
          <w:rFonts w:ascii="Times New Roman" w:hAnsi="Times New Roman" w:cs="Times New Roman"/>
          <w:b/>
          <w:bCs/>
          <w:i/>
          <w:iCs/>
          <w:sz w:val="24"/>
          <w:szCs w:val="24"/>
        </w:rPr>
      </w:pPr>
      <w:r w:rsidRPr="00012D9F">
        <w:rPr>
          <w:rFonts w:ascii="Times New Roman" w:hAnsi="Times New Roman" w:cs="Times New Roman"/>
          <w:b/>
          <w:bCs/>
          <w:i/>
          <w:iCs/>
          <w:sz w:val="24"/>
          <w:szCs w:val="24"/>
        </w:rPr>
        <w:t>Стратегия за преход към кръгова икономика на Република България за периода 2022 – 2027 г.</w:t>
      </w:r>
    </w:p>
    <w:p w14:paraId="23F13586" w14:textId="77777777" w:rsidR="007E4AF6" w:rsidRPr="00012D9F" w:rsidRDefault="007E4AF6" w:rsidP="007E4AF6">
      <w:pPr>
        <w:spacing w:after="0" w:line="276" w:lineRule="auto"/>
        <w:ind w:firstLine="709"/>
        <w:jc w:val="both"/>
        <w:rPr>
          <w:rFonts w:ascii="Times New Roman" w:hAnsi="Times New Roman" w:cs="Times New Roman"/>
          <w:sz w:val="24"/>
          <w:szCs w:val="24"/>
        </w:rPr>
      </w:pPr>
      <w:r w:rsidRPr="00012D9F">
        <w:rPr>
          <w:rFonts w:ascii="Times New Roman" w:hAnsi="Times New Roman" w:cs="Times New Roman"/>
          <w:sz w:val="24"/>
          <w:szCs w:val="24"/>
        </w:rPr>
        <w:t xml:space="preserve">Документът е приет с Решение № 832 на Министерския съвет от 26.10.2022 г. и е  валиден до края на 2027 г. </w:t>
      </w:r>
    </w:p>
    <w:p w14:paraId="7F55C059" w14:textId="77777777" w:rsidR="007E4AF6" w:rsidRPr="00D266B9" w:rsidRDefault="007E4AF6" w:rsidP="001D33CA">
      <w:pPr>
        <w:spacing w:after="0" w:line="276" w:lineRule="auto"/>
        <w:ind w:firstLine="709"/>
        <w:jc w:val="both"/>
        <w:rPr>
          <w:rFonts w:ascii="Times New Roman" w:hAnsi="Times New Roman" w:cs="Times New Roman"/>
          <w:sz w:val="24"/>
          <w:szCs w:val="24"/>
        </w:rPr>
      </w:pPr>
    </w:p>
    <w:p w14:paraId="67FE43B4" w14:textId="6CA41F33" w:rsidR="00C82655" w:rsidRPr="00D266B9" w:rsidRDefault="006F7CAE" w:rsidP="001D33CA">
      <w:pPr>
        <w:spacing w:after="0" w:line="276" w:lineRule="auto"/>
        <w:ind w:firstLine="709"/>
        <w:jc w:val="both"/>
        <w:rPr>
          <w:rFonts w:ascii="Times New Roman" w:hAnsi="Times New Roman" w:cs="Times New Roman"/>
          <w:i/>
          <w:iCs/>
          <w:sz w:val="24"/>
          <w:szCs w:val="24"/>
          <w:highlight w:val="yellow"/>
        </w:rPr>
      </w:pPr>
      <w:r w:rsidRPr="00D266B9">
        <w:rPr>
          <w:rFonts w:ascii="Times New Roman" w:hAnsi="Times New Roman" w:cs="Times New Roman"/>
          <w:i/>
          <w:iCs/>
          <w:sz w:val="24"/>
          <w:szCs w:val="24"/>
        </w:rPr>
        <w:t xml:space="preserve">В доклада за ЕО ще бъде направен анализ на съответствието и избягване на противоречия на предвижданията на </w:t>
      </w:r>
      <w:r w:rsidR="005B5EB3">
        <w:rPr>
          <w:rFonts w:ascii="Times New Roman" w:hAnsi="Times New Roman" w:cs="Times New Roman"/>
          <w:i/>
          <w:iCs/>
          <w:sz w:val="24"/>
          <w:szCs w:val="24"/>
        </w:rPr>
        <w:t>ИПЕК</w:t>
      </w:r>
      <w:r w:rsidRPr="00D266B9">
        <w:rPr>
          <w:rFonts w:ascii="Times New Roman" w:hAnsi="Times New Roman" w:cs="Times New Roman"/>
          <w:i/>
          <w:iCs/>
          <w:sz w:val="24"/>
          <w:szCs w:val="24"/>
        </w:rPr>
        <w:t xml:space="preserve"> със съотносимите планове, програми и стратегии, в т.ч. и с </w:t>
      </w:r>
      <w:r w:rsidR="003634B0" w:rsidRPr="00D266B9">
        <w:rPr>
          <w:rFonts w:ascii="Times New Roman" w:hAnsi="Times New Roman" w:cs="Times New Roman"/>
          <w:i/>
          <w:iCs/>
          <w:sz w:val="24"/>
          <w:szCs w:val="24"/>
        </w:rPr>
        <w:t xml:space="preserve">други </w:t>
      </w:r>
      <w:r w:rsidRPr="00D266B9">
        <w:rPr>
          <w:rFonts w:ascii="Times New Roman" w:hAnsi="Times New Roman" w:cs="Times New Roman"/>
          <w:i/>
          <w:iCs/>
          <w:sz w:val="24"/>
          <w:szCs w:val="24"/>
        </w:rPr>
        <w:t>такива, предложени за разглеждане от заинтересованите страни в резултат на консултациите по настоящото Задание.</w:t>
      </w:r>
    </w:p>
    <w:p w14:paraId="20783925" w14:textId="77777777" w:rsidR="006F7CAE" w:rsidRPr="00276BAC" w:rsidRDefault="006F7CAE" w:rsidP="001D33CA">
      <w:pPr>
        <w:spacing w:after="0" w:line="276" w:lineRule="auto"/>
        <w:ind w:firstLine="709"/>
        <w:jc w:val="both"/>
        <w:rPr>
          <w:rFonts w:ascii="Times New Roman" w:hAnsi="Times New Roman" w:cs="Times New Roman"/>
          <w:i/>
          <w:iCs/>
          <w:sz w:val="24"/>
          <w:szCs w:val="24"/>
        </w:rPr>
      </w:pPr>
    </w:p>
    <w:p w14:paraId="3F34F15F" w14:textId="18869C4A" w:rsidR="007A1E03" w:rsidRPr="00E045A5" w:rsidRDefault="00F1212C" w:rsidP="004F15F5">
      <w:pPr>
        <w:pStyle w:val="Heading2"/>
        <w:numPr>
          <w:ilvl w:val="0"/>
          <w:numId w:val="8"/>
        </w:numPr>
        <w:shd w:val="clear" w:color="auto" w:fill="E2EFD9" w:themeFill="accent6" w:themeFillTint="33"/>
        <w:spacing w:before="0" w:line="276" w:lineRule="auto"/>
        <w:ind w:left="0" w:firstLine="709"/>
        <w:jc w:val="both"/>
        <w:rPr>
          <w:rFonts w:ascii="Times New Roman" w:hAnsi="Times New Roman" w:cs="Times New Roman"/>
          <w:b/>
          <w:i/>
          <w:color w:val="auto"/>
        </w:rPr>
      </w:pPr>
      <w:bookmarkStart w:id="21" w:name="_Toc202730011"/>
      <w:r w:rsidRPr="00E045A5">
        <w:rPr>
          <w:rFonts w:ascii="Times New Roman" w:hAnsi="Times New Roman" w:cs="Times New Roman"/>
          <w:b/>
          <w:i/>
          <w:color w:val="auto"/>
        </w:rPr>
        <w:t xml:space="preserve">Текущо състояние на околната среда и евентуално </w:t>
      </w:r>
      <w:r w:rsidR="000E0DAB" w:rsidRPr="00E045A5">
        <w:rPr>
          <w:rFonts w:ascii="Times New Roman" w:hAnsi="Times New Roman" w:cs="Times New Roman"/>
          <w:b/>
          <w:i/>
          <w:color w:val="auto"/>
        </w:rPr>
        <w:t xml:space="preserve">развитие без прилагането на </w:t>
      </w:r>
      <w:r w:rsidR="005B5EB3">
        <w:rPr>
          <w:rFonts w:ascii="Times New Roman" w:hAnsi="Times New Roman" w:cs="Times New Roman"/>
          <w:b/>
          <w:i/>
          <w:color w:val="auto"/>
        </w:rPr>
        <w:t>ИПЕК</w:t>
      </w:r>
      <w:r w:rsidR="003C04AB" w:rsidRPr="00E045A5">
        <w:rPr>
          <w:rFonts w:ascii="Times New Roman" w:hAnsi="Times New Roman" w:cs="Times New Roman"/>
          <w:b/>
          <w:i/>
          <w:color w:val="auto"/>
        </w:rPr>
        <w:t>.</w:t>
      </w:r>
      <w:bookmarkEnd w:id="21"/>
    </w:p>
    <w:p w14:paraId="6D1C9470" w14:textId="77777777" w:rsidR="00DF7FAF" w:rsidRPr="00E045A5" w:rsidRDefault="00DF7FAF" w:rsidP="00E045A5">
      <w:pPr>
        <w:spacing w:after="0" w:line="276" w:lineRule="auto"/>
        <w:rPr>
          <w:rFonts w:ascii="Times New Roman" w:hAnsi="Times New Roman" w:cs="Times New Roman"/>
          <w:sz w:val="24"/>
          <w:szCs w:val="24"/>
        </w:rPr>
      </w:pPr>
    </w:p>
    <w:p w14:paraId="7C777F1A" w14:textId="77777777" w:rsidR="005616B5" w:rsidRPr="00E045A5" w:rsidRDefault="000E0DAB" w:rsidP="004F15F5">
      <w:pPr>
        <w:pStyle w:val="Heading3"/>
        <w:numPr>
          <w:ilvl w:val="1"/>
          <w:numId w:val="8"/>
        </w:numPr>
        <w:shd w:val="clear" w:color="auto" w:fill="E2EFD9" w:themeFill="accent6" w:themeFillTint="33"/>
        <w:spacing w:before="0" w:line="276" w:lineRule="auto"/>
        <w:ind w:left="0" w:firstLine="709"/>
        <w:jc w:val="both"/>
        <w:rPr>
          <w:rFonts w:ascii="Times New Roman" w:hAnsi="Times New Roman" w:cs="Times New Roman"/>
          <w:b/>
          <w:color w:val="auto"/>
        </w:rPr>
      </w:pPr>
      <w:bookmarkStart w:id="22" w:name="_Toc202730012"/>
      <w:r w:rsidRPr="00E045A5">
        <w:rPr>
          <w:rFonts w:ascii="Times New Roman" w:hAnsi="Times New Roman" w:cs="Times New Roman"/>
          <w:b/>
          <w:color w:val="auto"/>
        </w:rPr>
        <w:t>Текущо състояние на околната среда</w:t>
      </w:r>
      <w:bookmarkEnd w:id="22"/>
    </w:p>
    <w:p w14:paraId="0F53F060" w14:textId="77777777" w:rsidR="005616B5" w:rsidRPr="00E045A5" w:rsidRDefault="005616B5" w:rsidP="005616B5">
      <w:pPr>
        <w:spacing w:before="120" w:line="276" w:lineRule="auto"/>
        <w:ind w:firstLine="709"/>
        <w:jc w:val="both"/>
        <w:rPr>
          <w:rFonts w:ascii="Times New Roman" w:eastAsia="Calibri" w:hAnsi="Times New Roman" w:cs="Times New Roman"/>
          <w:b/>
          <w:i/>
          <w:sz w:val="24"/>
          <w:szCs w:val="24"/>
        </w:rPr>
      </w:pPr>
      <w:r w:rsidRPr="00E045A5">
        <w:rPr>
          <w:rFonts w:ascii="Times New Roman" w:eastAsia="Calibri" w:hAnsi="Times New Roman" w:cs="Times New Roman"/>
          <w:i/>
          <w:sz w:val="24"/>
          <w:szCs w:val="24"/>
        </w:rPr>
        <w:t xml:space="preserve">Текущото състояние на околната среда в страната ще бъде разгледано, анализирано и оценено в Доклада за екологична оценка по отношение на всеки компонент и фактор на средата, в т.ч. по отношение на населението и човешкото здраве. </w:t>
      </w:r>
      <w:r w:rsidRPr="00E045A5">
        <w:rPr>
          <w:rFonts w:ascii="Times New Roman" w:eastAsia="Calibri" w:hAnsi="Times New Roman" w:cs="Times New Roman"/>
          <w:b/>
          <w:i/>
          <w:sz w:val="24"/>
          <w:szCs w:val="24"/>
        </w:rPr>
        <w:t>За целта на заданието е представена само основна/резюмирана информация за състоянието на околната среда в страната.</w:t>
      </w:r>
    </w:p>
    <w:p w14:paraId="223943F5" w14:textId="77777777" w:rsidR="000E0DAB" w:rsidRPr="00E045A5" w:rsidRDefault="00B04B13" w:rsidP="004F15F5">
      <w:pPr>
        <w:pStyle w:val="Heading5"/>
        <w:numPr>
          <w:ilvl w:val="2"/>
          <w:numId w:val="8"/>
        </w:numPr>
        <w:spacing w:line="276" w:lineRule="auto"/>
        <w:ind w:left="0" w:firstLine="709"/>
        <w:jc w:val="both"/>
        <w:rPr>
          <w:rFonts w:ascii="Times New Roman" w:hAnsi="Times New Roman" w:cs="Times New Roman"/>
          <w:b/>
          <w:i/>
          <w:color w:val="auto"/>
          <w:sz w:val="24"/>
        </w:rPr>
      </w:pPr>
      <w:r w:rsidRPr="00E045A5">
        <w:rPr>
          <w:rFonts w:ascii="Times New Roman" w:hAnsi="Times New Roman" w:cs="Times New Roman"/>
          <w:b/>
          <w:i/>
          <w:color w:val="auto"/>
          <w:sz w:val="24"/>
        </w:rPr>
        <w:t xml:space="preserve">Характеристика на </w:t>
      </w:r>
      <w:r w:rsidR="000E0DAB" w:rsidRPr="00E045A5">
        <w:rPr>
          <w:rFonts w:ascii="Times New Roman" w:hAnsi="Times New Roman" w:cs="Times New Roman"/>
          <w:b/>
          <w:i/>
          <w:color w:val="auto"/>
          <w:sz w:val="24"/>
        </w:rPr>
        <w:t>климата и климатични изменения</w:t>
      </w:r>
    </w:p>
    <w:p w14:paraId="09F0C082" w14:textId="77777777" w:rsidR="005616B5" w:rsidRPr="00144BD1" w:rsidRDefault="00896213" w:rsidP="005616B5">
      <w:pPr>
        <w:spacing w:after="0" w:line="276" w:lineRule="auto"/>
        <w:ind w:firstLine="720"/>
        <w:contextualSpacing/>
        <w:jc w:val="both"/>
        <w:rPr>
          <w:rFonts w:ascii="Times New Roman" w:eastAsia="Calibri" w:hAnsi="Times New Roman" w:cs="Times New Roman"/>
          <w:sz w:val="24"/>
          <w:szCs w:val="24"/>
        </w:rPr>
      </w:pPr>
      <w:r w:rsidRPr="00144BD1">
        <w:rPr>
          <w:rFonts w:ascii="Times New Roman" w:hAnsi="Times New Roman" w:cs="Times New Roman"/>
          <w:sz w:val="24"/>
          <w:szCs w:val="24"/>
        </w:rPr>
        <w:t xml:space="preserve">Територията на </w:t>
      </w:r>
      <w:r w:rsidRPr="00144BD1">
        <w:rPr>
          <w:rFonts w:ascii="Times New Roman" w:eastAsia="Calibri" w:hAnsi="Times New Roman" w:cs="Times New Roman"/>
          <w:sz w:val="24"/>
          <w:szCs w:val="24"/>
        </w:rPr>
        <w:t xml:space="preserve">Р. България се разделя на две основни климатични области. </w:t>
      </w:r>
    </w:p>
    <w:p w14:paraId="7415FF09" w14:textId="77777777" w:rsidR="00896213" w:rsidRPr="00144BD1" w:rsidRDefault="00896213" w:rsidP="00896213">
      <w:pPr>
        <w:spacing w:after="0" w:line="276" w:lineRule="auto"/>
        <w:ind w:firstLine="720"/>
        <w:contextualSpacing/>
        <w:jc w:val="both"/>
        <w:rPr>
          <w:rFonts w:ascii="Times New Roman" w:eastAsia="Calibri" w:hAnsi="Times New Roman" w:cs="Times New Roman"/>
          <w:sz w:val="24"/>
          <w:szCs w:val="24"/>
        </w:rPr>
      </w:pPr>
      <w:r w:rsidRPr="00144BD1">
        <w:rPr>
          <w:rFonts w:ascii="Times New Roman" w:eastAsia="Calibri" w:hAnsi="Times New Roman" w:cs="Times New Roman"/>
          <w:sz w:val="24"/>
          <w:szCs w:val="24"/>
        </w:rPr>
        <w:t>Това са Европейско-континенталната и Континентално-средиземноморската климатични области. Всяка от климатичните области включва по две подобласти:</w:t>
      </w:r>
    </w:p>
    <w:p w14:paraId="0AE5E4DF" w14:textId="77777777" w:rsidR="00896213" w:rsidRPr="00144BD1" w:rsidRDefault="00F87F8A" w:rsidP="00896213">
      <w:pPr>
        <w:spacing w:after="0" w:line="276" w:lineRule="auto"/>
        <w:contextualSpacing/>
        <w:jc w:val="both"/>
        <w:rPr>
          <w:rFonts w:ascii="Times New Roman" w:eastAsia="Calibri" w:hAnsi="Times New Roman" w:cs="Times New Roman"/>
          <w:sz w:val="24"/>
          <w:szCs w:val="24"/>
        </w:rPr>
      </w:pPr>
      <w:r w:rsidRPr="00144BD1">
        <w:rPr>
          <w:rFonts w:ascii="Times New Roman" w:eastAsia="Calibri" w:hAnsi="Times New Roman" w:cs="Times New Roman"/>
          <w:sz w:val="24"/>
          <w:szCs w:val="24"/>
        </w:rPr>
        <w:tab/>
      </w:r>
      <w:r w:rsidR="00896213" w:rsidRPr="00144BD1">
        <w:rPr>
          <w:rFonts w:ascii="Times New Roman" w:eastAsia="Calibri" w:hAnsi="Times New Roman" w:cs="Times New Roman"/>
          <w:sz w:val="24"/>
          <w:szCs w:val="24"/>
        </w:rPr>
        <w:t>Умерено-континентална подобласт и Преходно-континентална подобласт на</w:t>
      </w:r>
      <w:r w:rsidR="00896213" w:rsidRPr="00144BD1">
        <w:t xml:space="preserve"> </w:t>
      </w:r>
      <w:r w:rsidR="00896213" w:rsidRPr="00144BD1">
        <w:rPr>
          <w:rFonts w:ascii="Times New Roman" w:eastAsia="Calibri" w:hAnsi="Times New Roman" w:cs="Times New Roman"/>
          <w:sz w:val="24"/>
          <w:szCs w:val="24"/>
        </w:rPr>
        <w:t>Европейско-континентална климатична област;</w:t>
      </w:r>
    </w:p>
    <w:p w14:paraId="308A085E" w14:textId="77777777" w:rsidR="00896213" w:rsidRPr="00144BD1" w:rsidRDefault="00F87F8A" w:rsidP="00896213">
      <w:pPr>
        <w:spacing w:after="0" w:line="276" w:lineRule="auto"/>
        <w:contextualSpacing/>
        <w:jc w:val="both"/>
        <w:rPr>
          <w:rFonts w:ascii="Times New Roman" w:eastAsia="Calibri" w:hAnsi="Times New Roman" w:cs="Times New Roman"/>
          <w:sz w:val="24"/>
          <w:szCs w:val="24"/>
        </w:rPr>
      </w:pPr>
      <w:r w:rsidRPr="00144BD1">
        <w:rPr>
          <w:rFonts w:ascii="Times New Roman" w:eastAsia="Calibri" w:hAnsi="Times New Roman" w:cs="Times New Roman"/>
          <w:sz w:val="24"/>
          <w:szCs w:val="24"/>
        </w:rPr>
        <w:tab/>
      </w:r>
      <w:r w:rsidR="00896213" w:rsidRPr="00144BD1">
        <w:rPr>
          <w:rFonts w:ascii="Times New Roman" w:eastAsia="Calibri" w:hAnsi="Times New Roman" w:cs="Times New Roman"/>
          <w:sz w:val="24"/>
          <w:szCs w:val="24"/>
        </w:rPr>
        <w:t>Южнобългарска подобласт и Черноморска подобласт на Континентално-средиземноморската климатична област.</w:t>
      </w:r>
    </w:p>
    <w:p w14:paraId="3A6FD152" w14:textId="77777777" w:rsidR="00896213" w:rsidRPr="00144BD1" w:rsidRDefault="00896213" w:rsidP="00896213">
      <w:pPr>
        <w:spacing w:after="0" w:line="276" w:lineRule="auto"/>
        <w:ind w:firstLine="720"/>
        <w:contextualSpacing/>
        <w:jc w:val="both"/>
        <w:rPr>
          <w:rFonts w:ascii="Times New Roman" w:eastAsia="Calibri" w:hAnsi="Times New Roman" w:cs="Times New Roman"/>
          <w:sz w:val="24"/>
          <w:szCs w:val="24"/>
        </w:rPr>
      </w:pPr>
      <w:r w:rsidRPr="00144BD1">
        <w:rPr>
          <w:rFonts w:ascii="Times New Roman" w:eastAsia="Calibri" w:hAnsi="Times New Roman" w:cs="Times New Roman"/>
          <w:sz w:val="24"/>
          <w:szCs w:val="24"/>
        </w:rPr>
        <w:t>Умерено-континенталната подобласт обхваща придунавските низини, хълмистите райони до Стара планина, най-източните части на Стара планина, високите котловинни области на Краище и Ихтиманско Средногорие. Тя е под влиянието на континентални въздушни маси на умерените ширини и такива формирани над Балканския полуостров. Средната годишна температурна амп</w:t>
      </w:r>
      <w:r w:rsidR="001359F0">
        <w:rPr>
          <w:rFonts w:ascii="Times New Roman" w:eastAsia="Calibri" w:hAnsi="Times New Roman" w:cs="Times New Roman"/>
          <w:sz w:val="24"/>
          <w:szCs w:val="24"/>
        </w:rPr>
        <w:t>литуда достига стойности до 26 </w:t>
      </w:r>
      <w:r w:rsidRPr="00144BD1">
        <w:rPr>
          <w:rFonts w:ascii="Times New Roman" w:eastAsia="Calibri" w:hAnsi="Times New Roman" w:cs="Times New Roman"/>
          <w:sz w:val="24"/>
          <w:szCs w:val="24"/>
        </w:rPr>
        <w:t>C. В тази подобласт са отбелязани най-ниските зимн</w:t>
      </w:r>
      <w:r w:rsidR="001359F0">
        <w:rPr>
          <w:rFonts w:ascii="Times New Roman" w:eastAsia="Calibri" w:hAnsi="Times New Roman" w:cs="Times New Roman"/>
          <w:sz w:val="24"/>
          <w:szCs w:val="24"/>
        </w:rPr>
        <w:t>и температури в България (-38,3</w:t>
      </w:r>
      <w:r w:rsidRPr="00144BD1">
        <w:rPr>
          <w:rFonts w:ascii="Times New Roman" w:eastAsia="Calibri" w:hAnsi="Times New Roman" w:cs="Times New Roman"/>
          <w:sz w:val="24"/>
          <w:szCs w:val="24"/>
        </w:rPr>
        <w:t>°C), както и мног</w:t>
      </w:r>
      <w:r w:rsidR="001359F0">
        <w:rPr>
          <w:rFonts w:ascii="Times New Roman" w:eastAsia="Calibri" w:hAnsi="Times New Roman" w:cs="Times New Roman"/>
          <w:sz w:val="24"/>
          <w:szCs w:val="24"/>
        </w:rPr>
        <w:t xml:space="preserve">о високи </w:t>
      </w:r>
      <w:r w:rsidR="001359F0">
        <w:rPr>
          <w:rFonts w:ascii="Times New Roman" w:eastAsia="Calibri" w:hAnsi="Times New Roman" w:cs="Times New Roman"/>
          <w:sz w:val="24"/>
          <w:szCs w:val="24"/>
        </w:rPr>
        <w:lastRenderedPageBreak/>
        <w:t>летни температури– 45 </w:t>
      </w:r>
      <w:r w:rsidRPr="00144BD1">
        <w:rPr>
          <w:rFonts w:ascii="Times New Roman" w:eastAsia="Calibri" w:hAnsi="Times New Roman" w:cs="Times New Roman"/>
          <w:sz w:val="24"/>
          <w:szCs w:val="24"/>
        </w:rPr>
        <w:t>C. Годишната сума на валежите достига до достига до 800 mm в Предбалкана и котловинните полета. Ясно изразена е тенденцията на нарастване в посока юг и във височина. Често явление са фьоновите ветрове в Дунавската равнина и Софийско поле.</w:t>
      </w:r>
    </w:p>
    <w:p w14:paraId="6EBE0217" w14:textId="77777777" w:rsidR="00896213" w:rsidRPr="00144BD1" w:rsidRDefault="00896213" w:rsidP="00896213">
      <w:pPr>
        <w:spacing w:after="0" w:line="276" w:lineRule="auto"/>
        <w:ind w:firstLine="720"/>
        <w:contextualSpacing/>
        <w:jc w:val="both"/>
        <w:rPr>
          <w:rFonts w:ascii="Times New Roman" w:eastAsia="Calibri" w:hAnsi="Times New Roman" w:cs="Times New Roman"/>
          <w:sz w:val="24"/>
          <w:szCs w:val="24"/>
        </w:rPr>
      </w:pPr>
      <w:r w:rsidRPr="00144BD1">
        <w:rPr>
          <w:rFonts w:ascii="Times New Roman" w:eastAsia="Calibri" w:hAnsi="Times New Roman" w:cs="Times New Roman"/>
          <w:sz w:val="24"/>
          <w:szCs w:val="24"/>
        </w:rPr>
        <w:t>Преходно-континенталната подобласт обхваща Горнотракийската низина, северната половина на Тунджанската област, източната половина на Задбалканските котловини и Благоевградската котловина. Годишната температурна амплитуда е около 23°C. Климатичните характеристики на тази подобласт са свързани с наличието на мека зима, хладна пролет и горещо лято. Годишната валежна сума е 500-600 mm, а в района на Горнотракийската низина тя е под 500 mm. Снежната покривка е неустойчива, като почти не се осъществява постоянно и непрекъснато снегонатрупване. Преобладават западните и северозападни ветрове, а през пролетта и лятото в източните части на Горнотракийската низина се проявяват източните и североизточни ветрове. Общите характеристики на климата в тази подобласт са по-благоприятни в сравнение с умерено-континенталната климатична област.</w:t>
      </w:r>
    </w:p>
    <w:p w14:paraId="0A631B41" w14:textId="77777777" w:rsidR="00896213" w:rsidRPr="00144BD1" w:rsidRDefault="00896213" w:rsidP="00896213">
      <w:pPr>
        <w:spacing w:after="0" w:line="276" w:lineRule="auto"/>
        <w:ind w:firstLine="720"/>
        <w:contextualSpacing/>
        <w:jc w:val="both"/>
        <w:rPr>
          <w:rFonts w:ascii="Times New Roman" w:eastAsia="Calibri" w:hAnsi="Times New Roman" w:cs="Times New Roman"/>
          <w:sz w:val="24"/>
          <w:szCs w:val="24"/>
        </w:rPr>
      </w:pPr>
      <w:r w:rsidRPr="00144BD1">
        <w:rPr>
          <w:rFonts w:ascii="Times New Roman" w:eastAsia="Calibri" w:hAnsi="Times New Roman" w:cs="Times New Roman"/>
          <w:sz w:val="24"/>
          <w:szCs w:val="24"/>
        </w:rPr>
        <w:t xml:space="preserve">Южнобългарската климатична подобласт обхваща най-южните райони на страната, разположени южно от Осоговската планина, Рила и Родопите. По-голямата част от тази подобласт има планински характер и само по речните долини теренът е равен. Средната годишната температурна амплитуда не надхвърля 24°C. Годишните валежни суми са между 500 – 600 мм, а в южната планинска част достигат до 700 – 1000 мм. </w:t>
      </w:r>
    </w:p>
    <w:p w14:paraId="17193980" w14:textId="77777777" w:rsidR="00896213" w:rsidRPr="00144BD1" w:rsidRDefault="00896213" w:rsidP="005616B5">
      <w:pPr>
        <w:spacing w:after="0" w:line="276" w:lineRule="auto"/>
        <w:ind w:firstLine="720"/>
        <w:contextualSpacing/>
        <w:jc w:val="both"/>
        <w:rPr>
          <w:rFonts w:ascii="Times New Roman" w:eastAsia="Calibri" w:hAnsi="Times New Roman" w:cs="Times New Roman"/>
          <w:sz w:val="24"/>
          <w:szCs w:val="24"/>
        </w:rPr>
      </w:pPr>
      <w:r w:rsidRPr="00144BD1">
        <w:rPr>
          <w:rFonts w:ascii="Times New Roman" w:eastAsia="Calibri" w:hAnsi="Times New Roman" w:cs="Times New Roman"/>
          <w:sz w:val="24"/>
          <w:szCs w:val="24"/>
        </w:rPr>
        <w:t xml:space="preserve">Черноморска климатична подобласт обхваща ивицата на брега на Черно море. Характерно за областта е, че има малка средногодишна температурна амплитуда- около 20 °C. Най-важната особеност в климата в този район е меката и влажна зима и горещото, но сравнително сухо и слънчево лято. През лятото преобладава бризовата циркулация, която се заражда благодарение на откритата водна площ и денонощния режим на температурата. През зимата преобладаващи са северните и североизточни ветрове. </w:t>
      </w:r>
    </w:p>
    <w:p w14:paraId="3DBF8F69" w14:textId="77777777" w:rsidR="00896213" w:rsidRPr="00144BD1" w:rsidRDefault="00896213" w:rsidP="00896213">
      <w:pPr>
        <w:spacing w:after="0" w:line="276" w:lineRule="auto"/>
        <w:ind w:firstLine="720"/>
        <w:contextualSpacing/>
        <w:jc w:val="both"/>
        <w:rPr>
          <w:rFonts w:ascii="Times New Roman" w:eastAsia="Calibri" w:hAnsi="Times New Roman" w:cs="Times New Roman"/>
          <w:sz w:val="24"/>
          <w:szCs w:val="24"/>
        </w:rPr>
      </w:pPr>
      <w:r w:rsidRPr="00144BD1">
        <w:rPr>
          <w:rFonts w:ascii="Times New Roman" w:eastAsia="Calibri" w:hAnsi="Times New Roman" w:cs="Times New Roman"/>
          <w:sz w:val="24"/>
          <w:szCs w:val="24"/>
        </w:rPr>
        <w:t>Наблюдаваните тенденции в изменението на климата в глобален аспект през последните години са свързани с покачване на средните годишни температури, по-влажен въздух, намаляване на дебелината на снежната покривка в районите на висока надморска височина, топене на ледниците и все по-честа поява на екстремни климатични явления.</w:t>
      </w:r>
    </w:p>
    <w:p w14:paraId="78ED738D" w14:textId="77777777" w:rsidR="00896213" w:rsidRPr="00144BD1" w:rsidRDefault="00896213" w:rsidP="00896213">
      <w:pPr>
        <w:spacing w:after="0" w:line="276" w:lineRule="auto"/>
        <w:ind w:firstLine="720"/>
        <w:contextualSpacing/>
        <w:jc w:val="both"/>
        <w:rPr>
          <w:rFonts w:ascii="Times New Roman" w:eastAsia="Calibri" w:hAnsi="Times New Roman" w:cs="Times New Roman"/>
          <w:sz w:val="24"/>
          <w:szCs w:val="24"/>
        </w:rPr>
      </w:pPr>
      <w:r w:rsidRPr="00144BD1">
        <w:rPr>
          <w:rFonts w:ascii="Times New Roman" w:eastAsia="Calibri" w:hAnsi="Times New Roman" w:cs="Times New Roman"/>
          <w:sz w:val="24"/>
          <w:szCs w:val="24"/>
        </w:rPr>
        <w:t xml:space="preserve">За ограничаване на изменението на климата се предприемат все повече действия на международно ниво, които целят намаляването на емисиите на парникови газове в резултат на антропогенната дейност. </w:t>
      </w:r>
    </w:p>
    <w:p w14:paraId="4876E235" w14:textId="77777777" w:rsidR="00896213" w:rsidRPr="00144BD1" w:rsidRDefault="00896213" w:rsidP="00896213">
      <w:pPr>
        <w:spacing w:after="0" w:line="276" w:lineRule="auto"/>
        <w:ind w:firstLine="720"/>
        <w:contextualSpacing/>
        <w:jc w:val="both"/>
        <w:rPr>
          <w:rFonts w:ascii="Times New Roman" w:eastAsia="Calibri" w:hAnsi="Times New Roman" w:cs="Times New Roman"/>
          <w:sz w:val="24"/>
          <w:szCs w:val="24"/>
        </w:rPr>
      </w:pPr>
      <w:r w:rsidRPr="00144BD1">
        <w:rPr>
          <w:rFonts w:ascii="Times New Roman" w:eastAsia="Calibri" w:hAnsi="Times New Roman" w:cs="Times New Roman"/>
          <w:sz w:val="24"/>
          <w:szCs w:val="24"/>
        </w:rPr>
        <w:t xml:space="preserve">Основният международен инструмент за борба с изменението на климата е </w:t>
      </w:r>
      <w:bookmarkStart w:id="23" w:name="_Hlk54692984"/>
      <w:r w:rsidRPr="00144BD1">
        <w:rPr>
          <w:rFonts w:ascii="Times New Roman" w:eastAsia="Calibri" w:hAnsi="Times New Roman" w:cs="Times New Roman"/>
          <w:sz w:val="24"/>
          <w:szCs w:val="24"/>
        </w:rPr>
        <w:t>Рамковата конвенция на Обединените нации по изменение на климата.</w:t>
      </w:r>
      <w:bookmarkEnd w:id="23"/>
    </w:p>
    <w:p w14:paraId="13D0DA02" w14:textId="77777777" w:rsidR="00896213" w:rsidRPr="00144BD1" w:rsidRDefault="00896213" w:rsidP="00896213">
      <w:pPr>
        <w:spacing w:after="0" w:line="276" w:lineRule="auto"/>
        <w:ind w:firstLine="720"/>
        <w:contextualSpacing/>
        <w:jc w:val="both"/>
        <w:rPr>
          <w:rFonts w:ascii="Times New Roman" w:eastAsia="Calibri" w:hAnsi="Times New Roman" w:cs="Times New Roman"/>
          <w:sz w:val="24"/>
          <w:szCs w:val="24"/>
        </w:rPr>
      </w:pPr>
      <w:r w:rsidRPr="00144BD1">
        <w:rPr>
          <w:rFonts w:ascii="Times New Roman" w:eastAsia="Calibri" w:hAnsi="Times New Roman" w:cs="Times New Roman"/>
          <w:sz w:val="24"/>
          <w:szCs w:val="24"/>
        </w:rPr>
        <w:t>Като страна по РКОНИК, Р.</w:t>
      </w:r>
      <w:r w:rsidR="00E640C3" w:rsidRPr="00144BD1">
        <w:rPr>
          <w:rFonts w:ascii="Times New Roman" w:eastAsia="Calibri" w:hAnsi="Times New Roman" w:cs="Times New Roman"/>
          <w:sz w:val="24"/>
          <w:szCs w:val="24"/>
        </w:rPr>
        <w:t xml:space="preserve"> </w:t>
      </w:r>
      <w:r w:rsidRPr="00144BD1">
        <w:rPr>
          <w:rFonts w:ascii="Times New Roman" w:eastAsia="Calibri" w:hAnsi="Times New Roman" w:cs="Times New Roman"/>
          <w:sz w:val="24"/>
          <w:szCs w:val="24"/>
        </w:rPr>
        <w:t>България има задължението да изготвя годишни инвентаризации на емисиите на парникови газове по източници и поглътители, съгласно утвърдена от РКОНИК методология. Инвентаризациите се изготвят от ИАОС и обхващат емисиите на основните парникови газове: въглероден диоксид (СО</w:t>
      </w:r>
      <w:r w:rsidRPr="00144BD1">
        <w:rPr>
          <w:rFonts w:ascii="Times New Roman" w:eastAsia="Calibri" w:hAnsi="Times New Roman" w:cs="Times New Roman"/>
          <w:sz w:val="24"/>
          <w:szCs w:val="24"/>
          <w:vertAlign w:val="subscript"/>
        </w:rPr>
        <w:t>2</w:t>
      </w:r>
      <w:r w:rsidRPr="00144BD1">
        <w:rPr>
          <w:rFonts w:ascii="Times New Roman" w:eastAsia="Calibri" w:hAnsi="Times New Roman" w:cs="Times New Roman"/>
          <w:sz w:val="24"/>
          <w:szCs w:val="24"/>
        </w:rPr>
        <w:t>), метан (CH</w:t>
      </w:r>
      <w:r w:rsidRPr="00144BD1">
        <w:rPr>
          <w:rFonts w:ascii="Times New Roman" w:eastAsia="Calibri" w:hAnsi="Times New Roman" w:cs="Times New Roman"/>
          <w:sz w:val="24"/>
          <w:szCs w:val="24"/>
          <w:vertAlign w:val="subscript"/>
        </w:rPr>
        <w:t>4</w:t>
      </w:r>
      <w:r w:rsidRPr="00144BD1">
        <w:rPr>
          <w:rFonts w:ascii="Times New Roman" w:eastAsia="Calibri" w:hAnsi="Times New Roman" w:cs="Times New Roman"/>
          <w:sz w:val="24"/>
          <w:szCs w:val="24"/>
        </w:rPr>
        <w:t>), диазотен оксид (N</w:t>
      </w:r>
      <w:r w:rsidRPr="00144BD1">
        <w:rPr>
          <w:rFonts w:ascii="Times New Roman" w:eastAsia="Calibri" w:hAnsi="Times New Roman" w:cs="Times New Roman"/>
          <w:sz w:val="24"/>
          <w:szCs w:val="24"/>
          <w:vertAlign w:val="subscript"/>
        </w:rPr>
        <w:t>2</w:t>
      </w:r>
      <w:r w:rsidRPr="00144BD1">
        <w:rPr>
          <w:rFonts w:ascii="Times New Roman" w:eastAsia="Calibri" w:hAnsi="Times New Roman" w:cs="Times New Roman"/>
          <w:sz w:val="24"/>
          <w:szCs w:val="24"/>
        </w:rPr>
        <w:t xml:space="preserve">О), хидрофлуоркарбони (HFCs), перфлуоркарбони (PFCs) и серен хексафлуорид </w:t>
      </w:r>
      <w:r w:rsidRPr="00144BD1">
        <w:rPr>
          <w:rFonts w:ascii="Times New Roman" w:eastAsia="Calibri" w:hAnsi="Times New Roman" w:cs="Times New Roman"/>
          <w:sz w:val="24"/>
          <w:szCs w:val="24"/>
        </w:rPr>
        <w:lastRenderedPageBreak/>
        <w:t>(SF</w:t>
      </w:r>
      <w:r w:rsidRPr="00144BD1">
        <w:rPr>
          <w:rFonts w:ascii="Times New Roman" w:eastAsia="Calibri" w:hAnsi="Times New Roman" w:cs="Times New Roman"/>
          <w:sz w:val="24"/>
          <w:szCs w:val="24"/>
          <w:vertAlign w:val="subscript"/>
        </w:rPr>
        <w:t>6</w:t>
      </w:r>
      <w:r w:rsidRPr="00144BD1">
        <w:rPr>
          <w:rFonts w:ascii="Times New Roman" w:eastAsia="Calibri" w:hAnsi="Times New Roman" w:cs="Times New Roman"/>
          <w:sz w:val="24"/>
          <w:szCs w:val="24"/>
        </w:rPr>
        <w:t>), както и прекурсорите на парниковите газове. За сравняване на потенциала на парниковите газове да влияят на глобалното затопляне, от Междуправителствения комитет по изменение на климата (IPCC), е създаден индекс, наречен „потенциал за глобално затопляне“. Въздействието на топлинната енергия на всички парникови газове се приравнява към въздействието на СО</w:t>
      </w:r>
      <w:r w:rsidRPr="00144BD1">
        <w:rPr>
          <w:rFonts w:ascii="Times New Roman" w:eastAsia="Calibri" w:hAnsi="Times New Roman" w:cs="Times New Roman"/>
          <w:sz w:val="24"/>
          <w:szCs w:val="24"/>
          <w:vertAlign w:val="subscript"/>
        </w:rPr>
        <w:t>2</w:t>
      </w:r>
      <w:r w:rsidRPr="00144BD1">
        <w:rPr>
          <w:rFonts w:ascii="Times New Roman" w:eastAsia="Calibri" w:hAnsi="Times New Roman" w:cs="Times New Roman"/>
          <w:sz w:val="24"/>
          <w:szCs w:val="24"/>
        </w:rPr>
        <w:t>, като за целта се използва т.нар. фактор СО</w:t>
      </w:r>
      <w:r w:rsidRPr="00144BD1">
        <w:rPr>
          <w:rFonts w:ascii="Times New Roman" w:eastAsia="Calibri" w:hAnsi="Times New Roman" w:cs="Times New Roman"/>
          <w:sz w:val="24"/>
          <w:szCs w:val="24"/>
          <w:vertAlign w:val="subscript"/>
        </w:rPr>
        <w:t>2</w:t>
      </w:r>
      <w:r w:rsidRPr="00144BD1">
        <w:rPr>
          <w:rFonts w:ascii="Times New Roman" w:eastAsia="Calibri" w:hAnsi="Times New Roman" w:cs="Times New Roman"/>
          <w:sz w:val="24"/>
          <w:szCs w:val="24"/>
        </w:rPr>
        <w:t>-еквивалент.</w:t>
      </w:r>
    </w:p>
    <w:p w14:paraId="4E482E88" w14:textId="77777777" w:rsidR="00896213" w:rsidRPr="00144BD1" w:rsidRDefault="00896213" w:rsidP="00896213">
      <w:pPr>
        <w:spacing w:after="0" w:line="276" w:lineRule="auto"/>
        <w:ind w:firstLine="720"/>
        <w:contextualSpacing/>
        <w:jc w:val="both"/>
        <w:rPr>
          <w:rFonts w:ascii="Times New Roman" w:eastAsia="Calibri" w:hAnsi="Times New Roman" w:cs="Times New Roman"/>
          <w:sz w:val="24"/>
          <w:szCs w:val="24"/>
        </w:rPr>
      </w:pPr>
      <w:r w:rsidRPr="00144BD1">
        <w:rPr>
          <w:rFonts w:ascii="Times New Roman" w:eastAsia="Calibri" w:hAnsi="Times New Roman" w:cs="Times New Roman"/>
          <w:sz w:val="24"/>
          <w:szCs w:val="24"/>
        </w:rPr>
        <w:t>За наблюдение и оценка на нивата на парникови газове се използват следните индикатори:</w:t>
      </w:r>
    </w:p>
    <w:p w14:paraId="422DECE6" w14:textId="77777777" w:rsidR="00896213" w:rsidRPr="00144BD1" w:rsidRDefault="00896213" w:rsidP="00A67F98">
      <w:pPr>
        <w:pStyle w:val="ListParagraph"/>
        <w:numPr>
          <w:ilvl w:val="0"/>
          <w:numId w:val="6"/>
        </w:numPr>
        <w:spacing w:after="0" w:line="276" w:lineRule="auto"/>
        <w:jc w:val="both"/>
        <w:rPr>
          <w:rFonts w:ascii="Times New Roman" w:hAnsi="Times New Roman" w:cs="Times New Roman"/>
          <w:sz w:val="24"/>
          <w:szCs w:val="24"/>
        </w:rPr>
      </w:pPr>
      <w:r w:rsidRPr="00144BD1">
        <w:rPr>
          <w:rFonts w:ascii="Times New Roman" w:hAnsi="Times New Roman" w:cs="Times New Roman"/>
          <w:sz w:val="24"/>
          <w:szCs w:val="24"/>
        </w:rPr>
        <w:t>Общи емисии на парникови газове;</w:t>
      </w:r>
    </w:p>
    <w:p w14:paraId="76E6170E" w14:textId="77777777" w:rsidR="00896213" w:rsidRPr="00144BD1" w:rsidRDefault="00896213" w:rsidP="00A67F98">
      <w:pPr>
        <w:pStyle w:val="ListParagraph"/>
        <w:numPr>
          <w:ilvl w:val="0"/>
          <w:numId w:val="6"/>
        </w:numPr>
        <w:spacing w:after="0" w:line="276" w:lineRule="auto"/>
        <w:jc w:val="both"/>
        <w:rPr>
          <w:rFonts w:ascii="Times New Roman" w:hAnsi="Times New Roman" w:cs="Times New Roman"/>
          <w:sz w:val="24"/>
          <w:szCs w:val="24"/>
        </w:rPr>
      </w:pPr>
      <w:r w:rsidRPr="00144BD1">
        <w:rPr>
          <w:rFonts w:ascii="Times New Roman" w:hAnsi="Times New Roman" w:cs="Times New Roman"/>
          <w:sz w:val="24"/>
          <w:szCs w:val="24"/>
        </w:rPr>
        <w:t>Емисии на парниковите газове по сектори от класификацията на Междуправителствения комитет по изменение на климата (IPCC);</w:t>
      </w:r>
    </w:p>
    <w:p w14:paraId="740F7CAD" w14:textId="77777777" w:rsidR="00896213" w:rsidRPr="00144BD1" w:rsidRDefault="00896213" w:rsidP="00A67F98">
      <w:pPr>
        <w:pStyle w:val="ListParagraph"/>
        <w:numPr>
          <w:ilvl w:val="0"/>
          <w:numId w:val="6"/>
        </w:numPr>
        <w:spacing w:after="0" w:line="276" w:lineRule="auto"/>
        <w:jc w:val="both"/>
        <w:rPr>
          <w:rFonts w:ascii="Times New Roman" w:hAnsi="Times New Roman" w:cs="Times New Roman"/>
          <w:sz w:val="24"/>
          <w:szCs w:val="24"/>
        </w:rPr>
      </w:pPr>
      <w:r w:rsidRPr="00144BD1">
        <w:rPr>
          <w:rFonts w:ascii="Times New Roman" w:hAnsi="Times New Roman" w:cs="Times New Roman"/>
          <w:sz w:val="24"/>
          <w:szCs w:val="24"/>
        </w:rPr>
        <w:t>Годишни емисии на парникови газове на човек от населението;</w:t>
      </w:r>
    </w:p>
    <w:p w14:paraId="112EFE26" w14:textId="77777777" w:rsidR="00896213" w:rsidRPr="00144BD1" w:rsidRDefault="00896213" w:rsidP="00A67F98">
      <w:pPr>
        <w:pStyle w:val="ListParagraph"/>
        <w:numPr>
          <w:ilvl w:val="0"/>
          <w:numId w:val="6"/>
        </w:numPr>
        <w:spacing w:after="0" w:line="276" w:lineRule="auto"/>
        <w:jc w:val="both"/>
        <w:rPr>
          <w:rFonts w:ascii="Times New Roman" w:hAnsi="Times New Roman" w:cs="Times New Roman"/>
          <w:sz w:val="24"/>
          <w:szCs w:val="24"/>
        </w:rPr>
      </w:pPr>
      <w:r w:rsidRPr="00144BD1">
        <w:rPr>
          <w:rFonts w:ascii="Times New Roman" w:hAnsi="Times New Roman" w:cs="Times New Roman"/>
          <w:sz w:val="24"/>
          <w:szCs w:val="24"/>
        </w:rPr>
        <w:t xml:space="preserve">Годишни емисии на парникови газове за единица </w:t>
      </w:r>
      <w:bookmarkStart w:id="24" w:name="_Hlk54693016"/>
      <w:r w:rsidRPr="00144BD1">
        <w:rPr>
          <w:rFonts w:ascii="Times New Roman" w:hAnsi="Times New Roman" w:cs="Times New Roman"/>
          <w:sz w:val="24"/>
          <w:szCs w:val="24"/>
        </w:rPr>
        <w:t>брутен вътрешен продукт.</w:t>
      </w:r>
    </w:p>
    <w:bookmarkEnd w:id="24"/>
    <w:p w14:paraId="52D8B0AD" w14:textId="77777777" w:rsidR="001F77C5" w:rsidRPr="001F77C5" w:rsidRDefault="00896213" w:rsidP="00896213">
      <w:pPr>
        <w:spacing w:after="0" w:line="276" w:lineRule="auto"/>
        <w:ind w:firstLine="720"/>
        <w:jc w:val="both"/>
        <w:rPr>
          <w:rFonts w:ascii="Times New Roman" w:eastAsia="Calibri" w:hAnsi="Times New Roman" w:cs="Times New Roman"/>
          <w:sz w:val="24"/>
          <w:szCs w:val="24"/>
        </w:rPr>
      </w:pPr>
      <w:r w:rsidRPr="001F77C5">
        <w:rPr>
          <w:rFonts w:ascii="Times New Roman" w:eastAsia="Calibri" w:hAnsi="Times New Roman" w:cs="Times New Roman"/>
          <w:sz w:val="24"/>
          <w:szCs w:val="24"/>
        </w:rPr>
        <w:t>Данните от последната извършена инвентаризация на емисиите на парникови газове на Р. България, която е за 20</w:t>
      </w:r>
      <w:r w:rsidR="001F77C5" w:rsidRPr="001F77C5">
        <w:rPr>
          <w:rFonts w:ascii="Times New Roman" w:eastAsia="Calibri" w:hAnsi="Times New Roman" w:cs="Times New Roman"/>
          <w:sz w:val="24"/>
          <w:szCs w:val="24"/>
        </w:rPr>
        <w:t>20</w:t>
      </w:r>
      <w:r w:rsidRPr="001F77C5">
        <w:rPr>
          <w:rFonts w:ascii="Times New Roman" w:eastAsia="Calibri" w:hAnsi="Times New Roman" w:cs="Times New Roman"/>
          <w:sz w:val="24"/>
          <w:szCs w:val="24"/>
        </w:rPr>
        <w:t xml:space="preserve"> г. показват, че общите емисии на парникови газове са в размер на </w:t>
      </w:r>
      <w:r w:rsidR="001F77C5" w:rsidRPr="001F77C5">
        <w:rPr>
          <w:rFonts w:ascii="Times New Roman" w:eastAsia="Calibri" w:hAnsi="Times New Roman" w:cs="Times New Roman"/>
          <w:sz w:val="24"/>
          <w:szCs w:val="24"/>
        </w:rPr>
        <w:t xml:space="preserve">49 152,19 </w:t>
      </w:r>
      <w:r w:rsidRPr="001F77C5">
        <w:rPr>
          <w:rFonts w:ascii="Times New Roman" w:eastAsia="Calibri" w:hAnsi="Times New Roman" w:cs="Times New Roman"/>
          <w:sz w:val="24"/>
          <w:szCs w:val="24"/>
        </w:rPr>
        <w:t>Gg CO</w:t>
      </w:r>
      <w:r w:rsidRPr="001F77C5">
        <w:rPr>
          <w:rFonts w:ascii="Times New Roman" w:eastAsia="Calibri" w:hAnsi="Times New Roman" w:cs="Times New Roman"/>
          <w:sz w:val="24"/>
          <w:szCs w:val="24"/>
          <w:vertAlign w:val="subscript"/>
        </w:rPr>
        <w:t xml:space="preserve">2 </w:t>
      </w:r>
      <w:r w:rsidRPr="001F77C5">
        <w:rPr>
          <w:rFonts w:ascii="Times New Roman" w:eastAsia="Calibri" w:hAnsi="Times New Roman" w:cs="Times New Roman"/>
          <w:sz w:val="24"/>
          <w:szCs w:val="24"/>
        </w:rPr>
        <w:t xml:space="preserve">екв. </w:t>
      </w:r>
    </w:p>
    <w:p w14:paraId="5DFEB184" w14:textId="77777777" w:rsidR="001F77C5" w:rsidRDefault="001F77C5" w:rsidP="001F77C5">
      <w:pPr>
        <w:spacing w:after="0" w:line="276" w:lineRule="auto"/>
        <w:ind w:firstLine="720"/>
        <w:jc w:val="both"/>
        <w:rPr>
          <w:rFonts w:ascii="Times New Roman" w:eastAsia="Calibri" w:hAnsi="Times New Roman" w:cs="Times New Roman"/>
          <w:i/>
          <w:iCs/>
          <w:sz w:val="24"/>
          <w:szCs w:val="24"/>
        </w:rPr>
      </w:pPr>
      <w:r w:rsidRPr="00144BD1">
        <w:rPr>
          <w:rFonts w:ascii="Times New Roman" w:eastAsia="Calibri" w:hAnsi="Times New Roman" w:cs="Times New Roman"/>
          <w:i/>
          <w:iCs/>
          <w:sz w:val="24"/>
          <w:szCs w:val="24"/>
        </w:rPr>
        <w:t xml:space="preserve">За периода 1988–2020 г., емисиите на основните парникови газове имат тенденция към намаляване. През 2020 г. са емитирани общи емисии на ПГ </w:t>
      </w:r>
      <w:r>
        <w:rPr>
          <w:rFonts w:ascii="Times New Roman" w:eastAsia="Calibri" w:hAnsi="Times New Roman" w:cs="Times New Roman"/>
          <w:i/>
          <w:iCs/>
          <w:sz w:val="24"/>
          <w:szCs w:val="24"/>
        </w:rPr>
        <w:t xml:space="preserve">от </w:t>
      </w:r>
      <w:r w:rsidRPr="00144BD1">
        <w:rPr>
          <w:rFonts w:ascii="Times New Roman" w:eastAsia="Calibri" w:hAnsi="Times New Roman" w:cs="Times New Roman"/>
          <w:i/>
          <w:iCs/>
          <w:sz w:val="24"/>
          <w:szCs w:val="24"/>
        </w:rPr>
        <w:t>43,44%</w:t>
      </w:r>
      <w:r>
        <w:rPr>
          <w:rFonts w:ascii="Times New Roman" w:eastAsia="Calibri" w:hAnsi="Times New Roman" w:cs="Times New Roman"/>
          <w:i/>
          <w:iCs/>
          <w:sz w:val="24"/>
          <w:szCs w:val="24"/>
        </w:rPr>
        <w:t xml:space="preserve"> </w:t>
      </w:r>
      <w:r w:rsidRPr="00144BD1">
        <w:rPr>
          <w:rFonts w:ascii="Times New Roman" w:eastAsia="Calibri" w:hAnsi="Times New Roman" w:cs="Times New Roman"/>
          <w:i/>
          <w:iCs/>
          <w:sz w:val="24"/>
          <w:szCs w:val="24"/>
        </w:rPr>
        <w:t>от емисиите през базовата година (1988).</w:t>
      </w:r>
    </w:p>
    <w:p w14:paraId="0EECF889" w14:textId="77777777" w:rsidR="001F77C5" w:rsidRDefault="001F77C5" w:rsidP="001F77C5">
      <w:pPr>
        <w:spacing w:after="0" w:line="276" w:lineRule="auto"/>
        <w:ind w:firstLine="720"/>
        <w:jc w:val="both"/>
        <w:rPr>
          <w:rFonts w:ascii="Times New Roman" w:eastAsia="Calibri" w:hAnsi="Times New Roman" w:cs="Times New Roman"/>
          <w:i/>
          <w:iCs/>
          <w:sz w:val="24"/>
          <w:szCs w:val="24"/>
        </w:rPr>
      </w:pPr>
    </w:p>
    <w:p w14:paraId="3407629B" w14:textId="77777777" w:rsidR="00896213" w:rsidRPr="00144BD1" w:rsidRDefault="00896213" w:rsidP="00896213">
      <w:pPr>
        <w:spacing w:after="0" w:line="276" w:lineRule="auto"/>
        <w:ind w:firstLine="720"/>
        <w:jc w:val="both"/>
        <w:rPr>
          <w:rFonts w:ascii="Times New Roman" w:eastAsia="Calibri" w:hAnsi="Times New Roman" w:cs="Times New Roman"/>
          <w:i/>
          <w:iCs/>
          <w:sz w:val="24"/>
          <w:szCs w:val="24"/>
        </w:rPr>
      </w:pPr>
      <w:r w:rsidRPr="00144BD1">
        <w:rPr>
          <w:rFonts w:ascii="Times New Roman" w:eastAsia="Calibri" w:hAnsi="Times New Roman" w:cs="Times New Roman"/>
          <w:i/>
          <w:iCs/>
          <w:sz w:val="24"/>
          <w:szCs w:val="24"/>
        </w:rPr>
        <w:t xml:space="preserve">В </w:t>
      </w:r>
      <w:r w:rsidR="00CC0C57" w:rsidRPr="00144BD1">
        <w:rPr>
          <w:rFonts w:ascii="Times New Roman" w:eastAsia="Calibri" w:hAnsi="Times New Roman" w:cs="Times New Roman"/>
          <w:i/>
          <w:iCs/>
          <w:sz w:val="24"/>
          <w:szCs w:val="24"/>
        </w:rPr>
        <w:t>Д</w:t>
      </w:r>
      <w:r w:rsidRPr="00144BD1">
        <w:rPr>
          <w:rFonts w:ascii="Times New Roman" w:eastAsia="Calibri" w:hAnsi="Times New Roman" w:cs="Times New Roman"/>
          <w:i/>
          <w:iCs/>
          <w:sz w:val="24"/>
          <w:szCs w:val="24"/>
        </w:rPr>
        <w:t>оклада за екологична оценка ще бъде направена подробна оценка на нивата на емисиите на парниковите газове по сектори и индикатори.</w:t>
      </w:r>
    </w:p>
    <w:p w14:paraId="1A5EAF0D" w14:textId="77777777" w:rsidR="000E0DAB" w:rsidRPr="001F77C5" w:rsidRDefault="000E0DAB" w:rsidP="004F15F5">
      <w:pPr>
        <w:pStyle w:val="Heading5"/>
        <w:numPr>
          <w:ilvl w:val="2"/>
          <w:numId w:val="8"/>
        </w:numPr>
        <w:spacing w:before="120" w:line="276" w:lineRule="auto"/>
        <w:ind w:left="0" w:firstLine="709"/>
        <w:jc w:val="both"/>
        <w:rPr>
          <w:rFonts w:ascii="Times New Roman" w:hAnsi="Times New Roman" w:cs="Times New Roman"/>
          <w:b/>
          <w:i/>
          <w:color w:val="auto"/>
          <w:sz w:val="24"/>
        </w:rPr>
      </w:pPr>
      <w:r w:rsidRPr="001F77C5">
        <w:rPr>
          <w:rFonts w:ascii="Times New Roman" w:hAnsi="Times New Roman" w:cs="Times New Roman"/>
          <w:b/>
          <w:i/>
          <w:color w:val="auto"/>
          <w:sz w:val="24"/>
        </w:rPr>
        <w:t>Състояние на атмосферния въздух</w:t>
      </w:r>
      <w:r w:rsidR="00B04B13" w:rsidRPr="001F77C5">
        <w:rPr>
          <w:rFonts w:ascii="Times New Roman" w:hAnsi="Times New Roman" w:cs="Times New Roman"/>
          <w:b/>
          <w:i/>
          <w:color w:val="auto"/>
          <w:sz w:val="24"/>
        </w:rPr>
        <w:t xml:space="preserve"> </w:t>
      </w:r>
    </w:p>
    <w:p w14:paraId="3D6E37ED" w14:textId="77777777" w:rsidR="005616B5" w:rsidRPr="001F77C5" w:rsidRDefault="005616B5" w:rsidP="005616B5">
      <w:pPr>
        <w:spacing w:before="120" w:after="0" w:line="276" w:lineRule="auto"/>
        <w:ind w:firstLine="720"/>
        <w:contextualSpacing/>
        <w:jc w:val="both"/>
        <w:rPr>
          <w:rFonts w:ascii="Times New Roman" w:eastAsia="Calibri" w:hAnsi="Times New Roman" w:cs="Times New Roman"/>
          <w:sz w:val="24"/>
          <w:szCs w:val="24"/>
        </w:rPr>
      </w:pPr>
      <w:r w:rsidRPr="001F77C5">
        <w:rPr>
          <w:rFonts w:ascii="Times New Roman" w:eastAsia="Calibri" w:hAnsi="Times New Roman" w:cs="Times New Roman"/>
          <w:sz w:val="24"/>
          <w:szCs w:val="24"/>
        </w:rPr>
        <w:t>За най-подробна оценка на качеството на атмосферния въздух на национално ниво могат да се използват данните, представляващи националните емисии на вредни вещества в атм</w:t>
      </w:r>
      <w:r w:rsidR="001F77C5">
        <w:rPr>
          <w:rFonts w:ascii="Times New Roman" w:eastAsia="Calibri" w:hAnsi="Times New Roman" w:cs="Times New Roman"/>
          <w:sz w:val="24"/>
          <w:szCs w:val="24"/>
        </w:rPr>
        <w:t xml:space="preserve">осферния въздух, представени в </w:t>
      </w:r>
      <w:r w:rsidRPr="001F77C5">
        <w:rPr>
          <w:rFonts w:ascii="Times New Roman" w:eastAsia="Calibri" w:hAnsi="Times New Roman" w:cs="Times New Roman"/>
          <w:sz w:val="24"/>
          <w:szCs w:val="24"/>
        </w:rPr>
        <w:t>националната инвентаризация на емисиите на вредни вещества на Р. България, изготвяна ежегодно от ИАОС. Емисиите се изчисляват в съответствие с изискванията и данните в „Единна методика за инвентаризация на емисиите на вредни вещества във въздуха” за 11 групи източници на емисии (сектори) и обхваща следните вещества:</w:t>
      </w:r>
    </w:p>
    <w:p w14:paraId="48644D66" w14:textId="77777777" w:rsidR="005616B5" w:rsidRPr="001F77C5" w:rsidRDefault="005616B5" w:rsidP="004F15F5">
      <w:pPr>
        <w:pStyle w:val="ListParagraph"/>
        <w:numPr>
          <w:ilvl w:val="0"/>
          <w:numId w:val="9"/>
        </w:numPr>
        <w:spacing w:after="0" w:line="276" w:lineRule="auto"/>
        <w:jc w:val="both"/>
        <w:rPr>
          <w:rFonts w:ascii="Times New Roman" w:eastAsia="Calibri" w:hAnsi="Times New Roman" w:cs="Times New Roman"/>
          <w:sz w:val="24"/>
          <w:szCs w:val="24"/>
        </w:rPr>
      </w:pPr>
      <w:r w:rsidRPr="001F77C5">
        <w:rPr>
          <w:rFonts w:ascii="Times New Roman" w:eastAsia="Calibri" w:hAnsi="Times New Roman" w:cs="Times New Roman"/>
          <w:sz w:val="24"/>
          <w:szCs w:val="24"/>
        </w:rPr>
        <w:t>серни оксиди (SОx);</w:t>
      </w:r>
    </w:p>
    <w:p w14:paraId="4AFA14C6" w14:textId="77777777" w:rsidR="005616B5" w:rsidRPr="001F77C5" w:rsidRDefault="005616B5" w:rsidP="004F15F5">
      <w:pPr>
        <w:pStyle w:val="ListParagraph"/>
        <w:numPr>
          <w:ilvl w:val="0"/>
          <w:numId w:val="9"/>
        </w:numPr>
        <w:spacing w:after="0" w:line="276" w:lineRule="auto"/>
        <w:jc w:val="both"/>
        <w:rPr>
          <w:rFonts w:ascii="Times New Roman" w:eastAsia="Calibri" w:hAnsi="Times New Roman" w:cs="Times New Roman"/>
          <w:sz w:val="24"/>
          <w:szCs w:val="24"/>
        </w:rPr>
      </w:pPr>
      <w:r w:rsidRPr="001F77C5">
        <w:rPr>
          <w:rFonts w:ascii="Times New Roman" w:eastAsia="Calibri" w:hAnsi="Times New Roman" w:cs="Times New Roman"/>
          <w:sz w:val="24"/>
          <w:szCs w:val="24"/>
        </w:rPr>
        <w:t>азотни оксиди (NОx);</w:t>
      </w:r>
    </w:p>
    <w:p w14:paraId="76FBDE25" w14:textId="77777777" w:rsidR="005616B5" w:rsidRPr="001F77C5" w:rsidRDefault="005616B5" w:rsidP="004F15F5">
      <w:pPr>
        <w:pStyle w:val="ListParagraph"/>
        <w:numPr>
          <w:ilvl w:val="0"/>
          <w:numId w:val="9"/>
        </w:numPr>
        <w:spacing w:after="0" w:line="276" w:lineRule="auto"/>
        <w:jc w:val="both"/>
        <w:rPr>
          <w:rFonts w:ascii="Times New Roman" w:eastAsia="Calibri" w:hAnsi="Times New Roman" w:cs="Times New Roman"/>
          <w:sz w:val="24"/>
          <w:szCs w:val="24"/>
        </w:rPr>
      </w:pPr>
      <w:bookmarkStart w:id="25" w:name="_Hlk54693047"/>
      <w:r w:rsidRPr="001F77C5">
        <w:rPr>
          <w:rFonts w:ascii="Times New Roman" w:eastAsia="Calibri" w:hAnsi="Times New Roman" w:cs="Times New Roman"/>
          <w:sz w:val="24"/>
          <w:szCs w:val="24"/>
        </w:rPr>
        <w:t>неметанови летливи органични съединения (НМЛОС);</w:t>
      </w:r>
    </w:p>
    <w:bookmarkEnd w:id="25"/>
    <w:p w14:paraId="37863910" w14:textId="77777777" w:rsidR="005616B5" w:rsidRPr="001F77C5" w:rsidRDefault="005616B5" w:rsidP="004F15F5">
      <w:pPr>
        <w:pStyle w:val="ListParagraph"/>
        <w:numPr>
          <w:ilvl w:val="0"/>
          <w:numId w:val="9"/>
        </w:numPr>
        <w:spacing w:after="0" w:line="276" w:lineRule="auto"/>
        <w:jc w:val="both"/>
        <w:rPr>
          <w:rFonts w:ascii="Times New Roman" w:eastAsia="Calibri" w:hAnsi="Times New Roman" w:cs="Times New Roman"/>
          <w:sz w:val="24"/>
          <w:szCs w:val="24"/>
        </w:rPr>
      </w:pPr>
      <w:r w:rsidRPr="001F77C5">
        <w:rPr>
          <w:rFonts w:ascii="Times New Roman" w:eastAsia="Calibri" w:hAnsi="Times New Roman" w:cs="Times New Roman"/>
          <w:sz w:val="24"/>
          <w:szCs w:val="24"/>
        </w:rPr>
        <w:t>амоняк (NH</w:t>
      </w:r>
      <w:r w:rsidRPr="001F77C5">
        <w:rPr>
          <w:rFonts w:ascii="Times New Roman" w:eastAsia="Calibri" w:hAnsi="Times New Roman" w:cs="Times New Roman"/>
          <w:sz w:val="24"/>
          <w:szCs w:val="24"/>
          <w:vertAlign w:val="subscript"/>
        </w:rPr>
        <w:t>3</w:t>
      </w:r>
      <w:r w:rsidRPr="001F77C5">
        <w:rPr>
          <w:rFonts w:ascii="Times New Roman" w:eastAsia="Calibri" w:hAnsi="Times New Roman" w:cs="Times New Roman"/>
          <w:sz w:val="24"/>
          <w:szCs w:val="24"/>
        </w:rPr>
        <w:t>);</w:t>
      </w:r>
    </w:p>
    <w:p w14:paraId="3347EBF6" w14:textId="77777777" w:rsidR="005616B5" w:rsidRPr="001F77C5" w:rsidRDefault="005616B5" w:rsidP="004F15F5">
      <w:pPr>
        <w:pStyle w:val="ListParagraph"/>
        <w:numPr>
          <w:ilvl w:val="0"/>
          <w:numId w:val="9"/>
        </w:numPr>
        <w:spacing w:after="0" w:line="276" w:lineRule="auto"/>
        <w:jc w:val="both"/>
        <w:rPr>
          <w:rFonts w:ascii="Times New Roman" w:eastAsia="Calibri" w:hAnsi="Times New Roman" w:cs="Times New Roman"/>
          <w:sz w:val="24"/>
          <w:szCs w:val="24"/>
        </w:rPr>
      </w:pPr>
      <w:r w:rsidRPr="001F77C5">
        <w:rPr>
          <w:rFonts w:ascii="Times New Roman" w:eastAsia="Calibri" w:hAnsi="Times New Roman" w:cs="Times New Roman"/>
          <w:sz w:val="24"/>
          <w:szCs w:val="24"/>
        </w:rPr>
        <w:t>общ прах;</w:t>
      </w:r>
    </w:p>
    <w:p w14:paraId="69340B57" w14:textId="77777777" w:rsidR="005616B5" w:rsidRPr="001F77C5" w:rsidRDefault="005616B5" w:rsidP="004F15F5">
      <w:pPr>
        <w:pStyle w:val="ListParagraph"/>
        <w:numPr>
          <w:ilvl w:val="0"/>
          <w:numId w:val="9"/>
        </w:numPr>
        <w:spacing w:after="0" w:line="276" w:lineRule="auto"/>
        <w:jc w:val="both"/>
        <w:rPr>
          <w:rFonts w:ascii="Times New Roman" w:eastAsia="Calibri" w:hAnsi="Times New Roman" w:cs="Times New Roman"/>
          <w:sz w:val="24"/>
          <w:szCs w:val="24"/>
        </w:rPr>
      </w:pPr>
      <w:bookmarkStart w:id="26" w:name="_Hlk54693063"/>
      <w:r w:rsidRPr="001F77C5">
        <w:rPr>
          <w:rFonts w:ascii="Times New Roman" w:eastAsia="Calibri" w:hAnsi="Times New Roman" w:cs="Times New Roman"/>
          <w:sz w:val="24"/>
          <w:szCs w:val="24"/>
        </w:rPr>
        <w:t>фини прахови частици (ФПЧ</w:t>
      </w:r>
      <w:r w:rsidRPr="001F77C5">
        <w:rPr>
          <w:rFonts w:ascii="Times New Roman" w:eastAsia="Calibri" w:hAnsi="Times New Roman" w:cs="Times New Roman"/>
          <w:sz w:val="24"/>
          <w:szCs w:val="24"/>
          <w:vertAlign w:val="subscript"/>
        </w:rPr>
        <w:t>10</w:t>
      </w:r>
      <w:r w:rsidRPr="001F77C5">
        <w:rPr>
          <w:rFonts w:ascii="Times New Roman" w:eastAsia="Calibri" w:hAnsi="Times New Roman" w:cs="Times New Roman"/>
          <w:sz w:val="24"/>
          <w:szCs w:val="24"/>
        </w:rPr>
        <w:t>);</w:t>
      </w:r>
    </w:p>
    <w:p w14:paraId="0CA3F3AE" w14:textId="77777777" w:rsidR="005616B5" w:rsidRPr="001F77C5" w:rsidRDefault="005616B5" w:rsidP="004F15F5">
      <w:pPr>
        <w:pStyle w:val="ListParagraph"/>
        <w:numPr>
          <w:ilvl w:val="0"/>
          <w:numId w:val="9"/>
        </w:numPr>
        <w:spacing w:after="0" w:line="276" w:lineRule="auto"/>
        <w:jc w:val="both"/>
        <w:rPr>
          <w:rFonts w:ascii="Times New Roman" w:eastAsia="Calibri" w:hAnsi="Times New Roman" w:cs="Times New Roman"/>
          <w:sz w:val="24"/>
          <w:szCs w:val="24"/>
        </w:rPr>
      </w:pPr>
      <w:r w:rsidRPr="001F77C5">
        <w:rPr>
          <w:rFonts w:ascii="Times New Roman" w:eastAsia="Calibri" w:hAnsi="Times New Roman" w:cs="Times New Roman"/>
          <w:sz w:val="24"/>
          <w:szCs w:val="24"/>
        </w:rPr>
        <w:t>фини прахови частици (ФПЧ</w:t>
      </w:r>
      <w:r w:rsidRPr="001F77C5">
        <w:rPr>
          <w:rFonts w:ascii="Times New Roman" w:eastAsia="Calibri" w:hAnsi="Times New Roman" w:cs="Times New Roman"/>
          <w:sz w:val="24"/>
          <w:szCs w:val="24"/>
          <w:vertAlign w:val="subscript"/>
        </w:rPr>
        <w:t>2.5</w:t>
      </w:r>
      <w:r w:rsidRPr="001F77C5">
        <w:rPr>
          <w:rFonts w:ascii="Times New Roman" w:eastAsia="Calibri" w:hAnsi="Times New Roman" w:cs="Times New Roman"/>
          <w:sz w:val="24"/>
          <w:szCs w:val="24"/>
        </w:rPr>
        <w:t>);</w:t>
      </w:r>
    </w:p>
    <w:p w14:paraId="08C82358" w14:textId="77777777" w:rsidR="005616B5" w:rsidRPr="001F77C5" w:rsidRDefault="005616B5" w:rsidP="004F15F5">
      <w:pPr>
        <w:pStyle w:val="ListParagraph"/>
        <w:numPr>
          <w:ilvl w:val="0"/>
          <w:numId w:val="9"/>
        </w:numPr>
        <w:spacing w:after="0" w:line="276" w:lineRule="auto"/>
        <w:jc w:val="both"/>
        <w:rPr>
          <w:rFonts w:ascii="Times New Roman" w:eastAsia="Calibri" w:hAnsi="Times New Roman" w:cs="Times New Roman"/>
          <w:sz w:val="24"/>
          <w:szCs w:val="24"/>
        </w:rPr>
      </w:pPr>
      <w:r w:rsidRPr="001F77C5">
        <w:rPr>
          <w:rFonts w:ascii="Times New Roman" w:eastAsia="Calibri" w:hAnsi="Times New Roman" w:cs="Times New Roman"/>
          <w:sz w:val="24"/>
          <w:szCs w:val="24"/>
        </w:rPr>
        <w:t>въглероден оксид (СО);</w:t>
      </w:r>
    </w:p>
    <w:p w14:paraId="0100A53D" w14:textId="77777777" w:rsidR="005616B5" w:rsidRPr="001F77C5" w:rsidRDefault="005616B5" w:rsidP="004F15F5">
      <w:pPr>
        <w:pStyle w:val="ListParagraph"/>
        <w:numPr>
          <w:ilvl w:val="0"/>
          <w:numId w:val="9"/>
        </w:numPr>
        <w:spacing w:after="0" w:line="276" w:lineRule="auto"/>
        <w:jc w:val="both"/>
        <w:rPr>
          <w:rFonts w:ascii="Times New Roman" w:eastAsia="Calibri" w:hAnsi="Times New Roman" w:cs="Times New Roman"/>
          <w:sz w:val="24"/>
          <w:szCs w:val="24"/>
        </w:rPr>
      </w:pPr>
      <w:r w:rsidRPr="001F77C5">
        <w:rPr>
          <w:rFonts w:ascii="Times New Roman" w:eastAsia="Calibri" w:hAnsi="Times New Roman" w:cs="Times New Roman"/>
          <w:sz w:val="24"/>
          <w:szCs w:val="24"/>
        </w:rPr>
        <w:lastRenderedPageBreak/>
        <w:t>тежки метали (Hg, Cd, Pb, As, Cr и други);</w:t>
      </w:r>
    </w:p>
    <w:p w14:paraId="10CFC677" w14:textId="77777777" w:rsidR="005616B5" w:rsidRPr="001F77C5" w:rsidRDefault="005616B5" w:rsidP="004F15F5">
      <w:pPr>
        <w:pStyle w:val="ListParagraph"/>
        <w:numPr>
          <w:ilvl w:val="0"/>
          <w:numId w:val="9"/>
        </w:numPr>
        <w:spacing w:after="0" w:line="276" w:lineRule="auto"/>
        <w:jc w:val="both"/>
        <w:rPr>
          <w:rFonts w:ascii="Times New Roman" w:eastAsia="Calibri" w:hAnsi="Times New Roman" w:cs="Times New Roman"/>
          <w:sz w:val="24"/>
          <w:szCs w:val="24"/>
        </w:rPr>
      </w:pPr>
      <w:r w:rsidRPr="001F77C5">
        <w:rPr>
          <w:rFonts w:ascii="Times New Roman" w:eastAsia="Calibri" w:hAnsi="Times New Roman" w:cs="Times New Roman"/>
          <w:sz w:val="24"/>
          <w:szCs w:val="24"/>
        </w:rPr>
        <w:t>полициклични ароматни въглеводороди (ПАВ);</w:t>
      </w:r>
    </w:p>
    <w:p w14:paraId="0DFD8AA4" w14:textId="77777777" w:rsidR="005616B5" w:rsidRPr="001F77C5" w:rsidRDefault="001D2E5D" w:rsidP="004F15F5">
      <w:pPr>
        <w:pStyle w:val="ListParagraph"/>
        <w:numPr>
          <w:ilvl w:val="0"/>
          <w:numId w:val="9"/>
        </w:numPr>
        <w:spacing w:after="0" w:line="276" w:lineRule="auto"/>
        <w:jc w:val="both"/>
        <w:rPr>
          <w:rFonts w:ascii="Times New Roman" w:eastAsia="Calibri" w:hAnsi="Times New Roman" w:cs="Times New Roman"/>
          <w:sz w:val="24"/>
          <w:szCs w:val="24"/>
        </w:rPr>
      </w:pPr>
      <w:r w:rsidRPr="001F77C5">
        <w:rPr>
          <w:rFonts w:ascii="Times New Roman" w:eastAsia="Calibri" w:hAnsi="Times New Roman" w:cs="Times New Roman"/>
          <w:sz w:val="24"/>
          <w:szCs w:val="24"/>
        </w:rPr>
        <w:t xml:space="preserve">полихлорирани </w:t>
      </w:r>
      <w:r w:rsidR="005616B5" w:rsidRPr="001F77C5">
        <w:rPr>
          <w:rFonts w:ascii="Times New Roman" w:eastAsia="Calibri" w:hAnsi="Times New Roman" w:cs="Times New Roman"/>
          <w:sz w:val="24"/>
          <w:szCs w:val="24"/>
        </w:rPr>
        <w:t>бифенили (ПХБ);</w:t>
      </w:r>
      <w:bookmarkEnd w:id="26"/>
    </w:p>
    <w:p w14:paraId="52BC7887" w14:textId="77777777" w:rsidR="005616B5" w:rsidRPr="001F77C5" w:rsidRDefault="005616B5" w:rsidP="004F15F5">
      <w:pPr>
        <w:pStyle w:val="ListParagraph"/>
        <w:numPr>
          <w:ilvl w:val="0"/>
          <w:numId w:val="9"/>
        </w:numPr>
        <w:spacing w:after="0" w:line="276" w:lineRule="auto"/>
        <w:jc w:val="both"/>
        <w:rPr>
          <w:rFonts w:ascii="Times New Roman" w:eastAsia="Calibri" w:hAnsi="Times New Roman" w:cs="Times New Roman"/>
          <w:sz w:val="24"/>
          <w:szCs w:val="24"/>
        </w:rPr>
      </w:pPr>
      <w:r w:rsidRPr="001F77C5">
        <w:rPr>
          <w:rFonts w:ascii="Times New Roman" w:eastAsia="Calibri" w:hAnsi="Times New Roman" w:cs="Times New Roman"/>
          <w:sz w:val="24"/>
          <w:szCs w:val="24"/>
        </w:rPr>
        <w:t>диоксини и фурани;</w:t>
      </w:r>
    </w:p>
    <w:p w14:paraId="2368A50E" w14:textId="77777777" w:rsidR="005616B5" w:rsidRPr="001F77C5" w:rsidRDefault="005616B5" w:rsidP="004F15F5">
      <w:pPr>
        <w:pStyle w:val="ListParagraph"/>
        <w:numPr>
          <w:ilvl w:val="0"/>
          <w:numId w:val="9"/>
        </w:numPr>
        <w:spacing w:after="0" w:line="276" w:lineRule="auto"/>
        <w:jc w:val="both"/>
        <w:rPr>
          <w:rFonts w:ascii="Times New Roman" w:eastAsia="Calibri" w:hAnsi="Times New Roman" w:cs="Times New Roman"/>
          <w:sz w:val="24"/>
          <w:szCs w:val="24"/>
        </w:rPr>
      </w:pPr>
      <w:r w:rsidRPr="001F77C5">
        <w:rPr>
          <w:rFonts w:ascii="Times New Roman" w:eastAsia="Calibri" w:hAnsi="Times New Roman" w:cs="Times New Roman"/>
          <w:sz w:val="24"/>
          <w:szCs w:val="24"/>
        </w:rPr>
        <w:t>други специфични замърсители.</w:t>
      </w:r>
    </w:p>
    <w:p w14:paraId="0090C954" w14:textId="77777777" w:rsidR="005616B5" w:rsidRPr="001F77C5" w:rsidRDefault="005616B5" w:rsidP="005616B5">
      <w:pPr>
        <w:spacing w:after="0" w:line="276" w:lineRule="auto"/>
        <w:ind w:firstLine="720"/>
        <w:contextualSpacing/>
        <w:jc w:val="both"/>
        <w:rPr>
          <w:rFonts w:ascii="Times New Roman" w:eastAsia="Calibri" w:hAnsi="Times New Roman" w:cs="Times New Roman"/>
          <w:sz w:val="24"/>
          <w:szCs w:val="24"/>
        </w:rPr>
      </w:pPr>
    </w:p>
    <w:p w14:paraId="4D885AAE" w14:textId="77777777" w:rsidR="005616B5" w:rsidRPr="001F77C5" w:rsidRDefault="005616B5" w:rsidP="005616B5">
      <w:pPr>
        <w:spacing w:after="0" w:line="276" w:lineRule="auto"/>
        <w:ind w:firstLine="720"/>
        <w:contextualSpacing/>
        <w:jc w:val="both"/>
        <w:rPr>
          <w:rFonts w:ascii="Times New Roman" w:eastAsia="Calibri" w:hAnsi="Times New Roman" w:cs="Times New Roman"/>
          <w:i/>
          <w:iCs/>
          <w:sz w:val="24"/>
          <w:szCs w:val="24"/>
        </w:rPr>
      </w:pPr>
      <w:bookmarkStart w:id="27" w:name="_Hlk45006941"/>
      <w:r w:rsidRPr="001F77C5">
        <w:rPr>
          <w:rFonts w:ascii="Times New Roman" w:eastAsia="Calibri" w:hAnsi="Times New Roman" w:cs="Times New Roman"/>
          <w:i/>
          <w:iCs/>
          <w:sz w:val="24"/>
          <w:szCs w:val="24"/>
        </w:rPr>
        <w:t xml:space="preserve">В Доклада за екологична оценка качеството на атмосферния въздух ще бъде подробно описано, като ще бъдат представени </w:t>
      </w:r>
      <w:bookmarkEnd w:id="27"/>
      <w:r w:rsidRPr="001F77C5">
        <w:rPr>
          <w:rFonts w:ascii="Times New Roman" w:eastAsia="Calibri" w:hAnsi="Times New Roman" w:cs="Times New Roman"/>
          <w:i/>
          <w:iCs/>
          <w:sz w:val="24"/>
          <w:szCs w:val="24"/>
        </w:rPr>
        <w:t>и данните за емисии на вредни вещества в атмосферния въздух по сектори в съответствие с актуалната национална инвентаризация на емисиите на вредни вещества на Р. България с цел установяване на тенденциите в замърсяването на атмосферния въздух.</w:t>
      </w:r>
    </w:p>
    <w:p w14:paraId="030BA3C7" w14:textId="77777777" w:rsidR="0053048C" w:rsidRPr="001F77C5" w:rsidRDefault="0053048C" w:rsidP="005616B5">
      <w:pPr>
        <w:spacing w:after="0" w:line="276" w:lineRule="auto"/>
        <w:ind w:firstLine="720"/>
        <w:contextualSpacing/>
        <w:jc w:val="both"/>
        <w:rPr>
          <w:rFonts w:ascii="Times New Roman" w:eastAsia="Calibri" w:hAnsi="Times New Roman" w:cs="Times New Roman"/>
          <w:i/>
          <w:iCs/>
          <w:sz w:val="24"/>
          <w:szCs w:val="24"/>
        </w:rPr>
      </w:pPr>
    </w:p>
    <w:p w14:paraId="7096AAB5" w14:textId="77777777" w:rsidR="000E0DAB" w:rsidRPr="001F77C5" w:rsidRDefault="000E0DAB" w:rsidP="004F15F5">
      <w:pPr>
        <w:pStyle w:val="Heading5"/>
        <w:numPr>
          <w:ilvl w:val="2"/>
          <w:numId w:val="8"/>
        </w:numPr>
        <w:spacing w:line="276" w:lineRule="auto"/>
        <w:ind w:left="0" w:firstLine="709"/>
        <w:jc w:val="both"/>
        <w:rPr>
          <w:rFonts w:ascii="Times New Roman" w:hAnsi="Times New Roman" w:cs="Times New Roman"/>
          <w:b/>
          <w:i/>
          <w:color w:val="auto"/>
          <w:sz w:val="24"/>
        </w:rPr>
      </w:pPr>
      <w:r w:rsidRPr="001F77C5">
        <w:rPr>
          <w:rFonts w:ascii="Times New Roman" w:hAnsi="Times New Roman" w:cs="Times New Roman"/>
          <w:b/>
          <w:i/>
          <w:color w:val="auto"/>
          <w:sz w:val="24"/>
        </w:rPr>
        <w:t>Състояние на повърхностните води</w:t>
      </w:r>
      <w:r w:rsidR="00B04B13" w:rsidRPr="001F77C5">
        <w:rPr>
          <w:rFonts w:ascii="Times New Roman" w:hAnsi="Times New Roman" w:cs="Times New Roman"/>
          <w:b/>
          <w:i/>
          <w:color w:val="auto"/>
          <w:sz w:val="24"/>
        </w:rPr>
        <w:t xml:space="preserve"> </w:t>
      </w:r>
    </w:p>
    <w:p w14:paraId="5F1FE268" w14:textId="77777777" w:rsidR="00A63945" w:rsidRPr="001F77C5" w:rsidRDefault="00A63945" w:rsidP="00A5352E">
      <w:pPr>
        <w:spacing w:after="0" w:line="276" w:lineRule="auto"/>
        <w:ind w:firstLine="709"/>
        <w:contextualSpacing/>
        <w:jc w:val="both"/>
        <w:rPr>
          <w:rFonts w:ascii="Times New Roman" w:eastAsia="Calibri" w:hAnsi="Times New Roman" w:cs="Times New Roman"/>
          <w:sz w:val="24"/>
          <w:szCs w:val="24"/>
        </w:rPr>
      </w:pPr>
      <w:r w:rsidRPr="001F77C5">
        <w:rPr>
          <w:rFonts w:ascii="Times New Roman" w:eastAsia="Calibri" w:hAnsi="Times New Roman" w:cs="Times New Roman"/>
          <w:sz w:val="24"/>
          <w:szCs w:val="24"/>
        </w:rPr>
        <w:t xml:space="preserve">Особеностите на геоложкият строеж, значителното </w:t>
      </w:r>
      <w:r w:rsidR="001D2E5D" w:rsidRPr="001F77C5">
        <w:rPr>
          <w:rFonts w:ascii="Times New Roman" w:eastAsia="Calibri" w:hAnsi="Times New Roman" w:cs="Times New Roman"/>
          <w:sz w:val="24"/>
          <w:szCs w:val="24"/>
        </w:rPr>
        <w:t xml:space="preserve">разнообразие </w:t>
      </w:r>
      <w:r w:rsidRPr="001F77C5">
        <w:rPr>
          <w:rFonts w:ascii="Times New Roman" w:eastAsia="Calibri" w:hAnsi="Times New Roman" w:cs="Times New Roman"/>
          <w:sz w:val="24"/>
          <w:szCs w:val="24"/>
        </w:rPr>
        <w:t>от форми на релефа и характера на климатичните условия в България определят развитието на гъста и сложна хидрогеографска мрежа. От друга страна малкият териториален обхват (111 хил. км</w:t>
      </w:r>
      <w:r w:rsidRPr="001F77C5">
        <w:rPr>
          <w:rFonts w:ascii="Times New Roman" w:eastAsia="Calibri" w:hAnsi="Times New Roman" w:cs="Times New Roman"/>
          <w:sz w:val="24"/>
          <w:szCs w:val="24"/>
          <w:vertAlign w:val="superscript"/>
        </w:rPr>
        <w:t>2</w:t>
      </w:r>
      <w:r w:rsidRPr="001F77C5">
        <w:rPr>
          <w:rFonts w:ascii="Times New Roman" w:eastAsia="Calibri" w:hAnsi="Times New Roman" w:cs="Times New Roman"/>
          <w:sz w:val="24"/>
          <w:szCs w:val="24"/>
        </w:rPr>
        <w:t>) и непосредствен допир до р. Дунав и Черно море, заедно с местоположението на Стара планина и близостта на Егейско море не са благоприятствали за образуването на дълги речни артерии и големи речни системи.</w:t>
      </w:r>
    </w:p>
    <w:p w14:paraId="653D9BE7" w14:textId="77777777" w:rsidR="00A63945" w:rsidRPr="001F77C5" w:rsidRDefault="00A63945" w:rsidP="00A5352E">
      <w:pPr>
        <w:spacing w:after="0" w:line="276" w:lineRule="auto"/>
        <w:ind w:firstLine="709"/>
        <w:contextualSpacing/>
        <w:jc w:val="both"/>
        <w:rPr>
          <w:rFonts w:ascii="Times New Roman" w:eastAsia="Calibri" w:hAnsi="Times New Roman" w:cs="Times New Roman"/>
          <w:sz w:val="24"/>
          <w:szCs w:val="24"/>
        </w:rPr>
      </w:pPr>
      <w:r w:rsidRPr="001F77C5">
        <w:rPr>
          <w:rFonts w:ascii="Times New Roman" w:eastAsia="Calibri" w:hAnsi="Times New Roman" w:cs="Times New Roman"/>
          <w:sz w:val="24"/>
          <w:szCs w:val="24"/>
        </w:rPr>
        <w:t>Течението на реките в България е насочено към два главни водосборни басейна – Черноморски и Егейски, съответстващи на два екорегиона съгласно Рамкова директива за водите 2000/60/ЕС (РДВ), а именно Екорегион 12 „Понтийска провинция“ и Екорегион 7 „Източни Балкани“.</w:t>
      </w:r>
    </w:p>
    <w:p w14:paraId="0792CAE2" w14:textId="381A8FA6" w:rsidR="00A63945" w:rsidRPr="001F77C5" w:rsidRDefault="004D5A75" w:rsidP="00A5352E">
      <w:pPr>
        <w:spacing w:after="0" w:line="276" w:lineRule="auto"/>
        <w:ind w:firstLine="709"/>
        <w:jc w:val="both"/>
        <w:rPr>
          <w:rFonts w:ascii="Times New Roman" w:eastAsia="Calibri" w:hAnsi="Times New Roman" w:cs="Times New Roman"/>
          <w:sz w:val="24"/>
          <w:szCs w:val="24"/>
        </w:rPr>
      </w:pPr>
      <w:r w:rsidRPr="001F77C5">
        <w:rPr>
          <w:rFonts w:ascii="Times New Roman" w:eastAsia="Calibri" w:hAnsi="Times New Roman" w:cs="Times New Roman"/>
          <w:sz w:val="24"/>
          <w:szCs w:val="24"/>
        </w:rPr>
        <w:t>Законът за водите</w:t>
      </w:r>
      <w:r w:rsidR="00A63945" w:rsidRPr="001F77C5">
        <w:rPr>
          <w:rFonts w:ascii="Times New Roman" w:eastAsia="Calibri" w:hAnsi="Times New Roman" w:cs="Times New Roman"/>
          <w:sz w:val="24"/>
          <w:szCs w:val="24"/>
        </w:rPr>
        <w:t xml:space="preserve"> разделя страната на 4 района за басейново управление на базата на оформилите се водосборни области – </w:t>
      </w:r>
      <w:r w:rsidR="00D557F0" w:rsidRPr="001F77C5">
        <w:rPr>
          <w:rFonts w:ascii="Times New Roman" w:eastAsia="Calibri" w:hAnsi="Times New Roman" w:cs="Times New Roman"/>
          <w:sz w:val="24"/>
          <w:szCs w:val="24"/>
        </w:rPr>
        <w:t>Дунавски,</w:t>
      </w:r>
      <w:r w:rsidR="00D557F0">
        <w:rPr>
          <w:rFonts w:ascii="Times New Roman" w:eastAsia="Calibri" w:hAnsi="Times New Roman" w:cs="Times New Roman"/>
          <w:sz w:val="24"/>
          <w:szCs w:val="24"/>
        </w:rPr>
        <w:t xml:space="preserve"> </w:t>
      </w:r>
      <w:r w:rsidR="00D557F0" w:rsidRPr="001F77C5">
        <w:rPr>
          <w:rFonts w:ascii="Times New Roman" w:eastAsia="Calibri" w:hAnsi="Times New Roman" w:cs="Times New Roman"/>
          <w:sz w:val="24"/>
          <w:szCs w:val="24"/>
        </w:rPr>
        <w:t>Западнобеломорски</w:t>
      </w:r>
      <w:r w:rsidR="00D557F0">
        <w:rPr>
          <w:rFonts w:ascii="Times New Roman" w:eastAsia="Calibri" w:hAnsi="Times New Roman" w:cs="Times New Roman"/>
          <w:sz w:val="24"/>
          <w:szCs w:val="24"/>
        </w:rPr>
        <w:t xml:space="preserve">, </w:t>
      </w:r>
      <w:r w:rsidR="00D557F0" w:rsidRPr="00D557F0">
        <w:rPr>
          <w:rFonts w:ascii="Times New Roman" w:eastAsia="Calibri" w:hAnsi="Times New Roman" w:cs="Times New Roman"/>
          <w:sz w:val="24"/>
          <w:szCs w:val="24"/>
        </w:rPr>
        <w:t xml:space="preserve"> </w:t>
      </w:r>
      <w:r w:rsidR="00D557F0" w:rsidRPr="001F77C5">
        <w:rPr>
          <w:rFonts w:ascii="Times New Roman" w:eastAsia="Calibri" w:hAnsi="Times New Roman" w:cs="Times New Roman"/>
          <w:sz w:val="24"/>
          <w:szCs w:val="24"/>
        </w:rPr>
        <w:t xml:space="preserve">Източнобеломорски и </w:t>
      </w:r>
      <w:r w:rsidR="00A63945" w:rsidRPr="001F77C5">
        <w:rPr>
          <w:rFonts w:ascii="Times New Roman" w:eastAsia="Calibri" w:hAnsi="Times New Roman" w:cs="Times New Roman"/>
          <w:sz w:val="24"/>
          <w:szCs w:val="24"/>
        </w:rPr>
        <w:t>Черноморски</w:t>
      </w:r>
      <w:r w:rsidR="00D557F0">
        <w:rPr>
          <w:rFonts w:ascii="Times New Roman" w:eastAsia="Calibri" w:hAnsi="Times New Roman" w:cs="Times New Roman"/>
          <w:sz w:val="24"/>
          <w:szCs w:val="24"/>
        </w:rPr>
        <w:t xml:space="preserve">. </w:t>
      </w:r>
      <w:r w:rsidR="00A63945" w:rsidRPr="001F77C5">
        <w:rPr>
          <w:rFonts w:ascii="Times New Roman" w:eastAsia="Calibri" w:hAnsi="Times New Roman" w:cs="Times New Roman"/>
          <w:sz w:val="24"/>
          <w:szCs w:val="24"/>
        </w:rPr>
        <w:t>Следвайки този хидрогеографски критерий, определените райони за управление на речните басейни носят имената на основните повърхностни водни тела, в които се вливат вътрешните реки.</w:t>
      </w:r>
    </w:p>
    <w:p w14:paraId="257DEB0A" w14:textId="77777777" w:rsidR="00A63945" w:rsidRPr="001F77C5" w:rsidRDefault="00A63945" w:rsidP="00A5352E">
      <w:pPr>
        <w:spacing w:after="0"/>
        <w:jc w:val="center"/>
      </w:pPr>
      <w:r w:rsidRPr="001F77C5">
        <w:rPr>
          <w:noProof/>
          <w:lang w:eastAsia="bg-BG"/>
        </w:rPr>
        <w:lastRenderedPageBreak/>
        <w:drawing>
          <wp:inline distT="0" distB="0" distL="0" distR="0" wp14:anchorId="48490883" wp14:editId="34D852A5">
            <wp:extent cx="4419600" cy="2651760"/>
            <wp:effectExtent l="0" t="0" r="0" b="0"/>
            <wp:docPr id="8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9600" cy="2651760"/>
                    </a:xfrm>
                    <a:prstGeom prst="rect">
                      <a:avLst/>
                    </a:prstGeom>
                    <a:noFill/>
                    <a:ln>
                      <a:noFill/>
                    </a:ln>
                  </pic:spPr>
                </pic:pic>
              </a:graphicData>
            </a:graphic>
          </wp:inline>
        </w:drawing>
      </w:r>
    </w:p>
    <w:p w14:paraId="6AAE952E" w14:textId="77777777" w:rsidR="00A63945" w:rsidRPr="001F77C5" w:rsidRDefault="00A63945" w:rsidP="00A5352E">
      <w:pPr>
        <w:spacing w:after="0" w:line="276" w:lineRule="auto"/>
        <w:jc w:val="center"/>
        <w:rPr>
          <w:rFonts w:ascii="Times New Roman" w:eastAsia="Calibri" w:hAnsi="Times New Roman" w:cs="Times New Roman"/>
          <w:bCs/>
          <w:iCs/>
          <w:sz w:val="24"/>
          <w:szCs w:val="24"/>
        </w:rPr>
      </w:pPr>
      <w:r w:rsidRPr="001F77C5">
        <w:rPr>
          <w:rFonts w:ascii="Times New Roman" w:eastAsia="Calibri" w:hAnsi="Times New Roman" w:cs="Times New Roman"/>
          <w:b/>
          <w:iCs/>
          <w:sz w:val="24"/>
          <w:szCs w:val="24"/>
        </w:rPr>
        <w:t xml:space="preserve">Фигура 2.1.3-1. </w:t>
      </w:r>
      <w:r w:rsidRPr="001F77C5">
        <w:rPr>
          <w:rFonts w:ascii="Times New Roman" w:eastAsia="Calibri" w:hAnsi="Times New Roman" w:cs="Times New Roman"/>
          <w:bCs/>
          <w:iCs/>
          <w:sz w:val="24"/>
          <w:szCs w:val="24"/>
        </w:rPr>
        <w:t>Райони за басейново управление (източник: Биологичен анализ и екологична оценка на типовете повърхностни води в България).</w:t>
      </w:r>
    </w:p>
    <w:p w14:paraId="469DE88B" w14:textId="77777777" w:rsidR="00A63945" w:rsidRPr="001F77C5" w:rsidRDefault="00A63945" w:rsidP="00A5352E">
      <w:pPr>
        <w:spacing w:after="0" w:line="276" w:lineRule="auto"/>
        <w:ind w:firstLine="709"/>
        <w:jc w:val="both"/>
        <w:rPr>
          <w:rFonts w:ascii="Times New Roman" w:eastAsia="Calibri" w:hAnsi="Times New Roman" w:cs="Times New Roman"/>
          <w:sz w:val="24"/>
          <w:szCs w:val="24"/>
        </w:rPr>
      </w:pPr>
      <w:r w:rsidRPr="001F77C5">
        <w:rPr>
          <w:rFonts w:ascii="Times New Roman" w:eastAsia="Calibri" w:hAnsi="Times New Roman" w:cs="Times New Roman"/>
          <w:sz w:val="24"/>
          <w:szCs w:val="24"/>
        </w:rPr>
        <w:t xml:space="preserve">Основната цел на европейската и националната политика свързана с водите е да се гарантира достатъчно количество вода с добро качество както за потребностите на хората, така и за околната среда. Приетата през 2000 г. РДВ въвежда нов, интегриран подход при управлението на водите, чиято задача е подготовката и изпълнението на </w:t>
      </w:r>
      <w:bookmarkStart w:id="28" w:name="_Hlk54688970"/>
      <w:r w:rsidRPr="001F77C5">
        <w:rPr>
          <w:rFonts w:ascii="Times New Roman" w:eastAsia="Calibri" w:hAnsi="Times New Roman" w:cs="Times New Roman"/>
          <w:sz w:val="24"/>
          <w:szCs w:val="24"/>
        </w:rPr>
        <w:t>ПУРБ</w:t>
      </w:r>
      <w:bookmarkEnd w:id="28"/>
      <w:r w:rsidRPr="001F77C5">
        <w:rPr>
          <w:rFonts w:ascii="Times New Roman" w:eastAsia="Calibri" w:hAnsi="Times New Roman" w:cs="Times New Roman"/>
          <w:sz w:val="24"/>
          <w:szCs w:val="24"/>
        </w:rPr>
        <w:t xml:space="preserve"> с основна цел постигане на добро състояние на повърхностните и подземните води към 2027 г.</w:t>
      </w:r>
    </w:p>
    <w:p w14:paraId="32EEE660" w14:textId="2C5DDD3E" w:rsidR="00A63945" w:rsidRPr="001F77C5" w:rsidRDefault="00A63945" w:rsidP="00A5352E">
      <w:pPr>
        <w:spacing w:after="0" w:line="276" w:lineRule="auto"/>
        <w:ind w:firstLine="709"/>
        <w:jc w:val="both"/>
        <w:rPr>
          <w:rFonts w:ascii="Times New Roman" w:eastAsia="Calibri" w:hAnsi="Times New Roman" w:cs="Times New Roman"/>
          <w:sz w:val="24"/>
          <w:szCs w:val="24"/>
        </w:rPr>
      </w:pPr>
      <w:r w:rsidRPr="001F77C5">
        <w:rPr>
          <w:rFonts w:ascii="Times New Roman" w:eastAsia="Calibri" w:hAnsi="Times New Roman" w:cs="Times New Roman"/>
          <w:sz w:val="24"/>
          <w:szCs w:val="24"/>
        </w:rPr>
        <w:t xml:space="preserve">Мониторингът и оценката на състоянието на водите и </w:t>
      </w:r>
      <w:bookmarkStart w:id="29" w:name="_Hlk54689000"/>
      <w:r w:rsidRPr="001F77C5">
        <w:rPr>
          <w:rFonts w:ascii="Times New Roman" w:eastAsia="Calibri" w:hAnsi="Times New Roman" w:cs="Times New Roman"/>
          <w:sz w:val="24"/>
          <w:szCs w:val="24"/>
        </w:rPr>
        <w:t xml:space="preserve">зоните за защита на водите </w:t>
      </w:r>
      <w:bookmarkEnd w:id="29"/>
      <w:r w:rsidRPr="001F77C5">
        <w:rPr>
          <w:rFonts w:ascii="Times New Roman" w:eastAsia="Calibri" w:hAnsi="Times New Roman" w:cs="Times New Roman"/>
          <w:sz w:val="24"/>
          <w:szCs w:val="24"/>
        </w:rPr>
        <w:t xml:space="preserve">се извършват в съответствие с изискванията на Приложение V към Директива 2000/60/EО на Европейския парламент и на Съвета от 23 октомври 2000 година за установяване на рамка за действията на Общността в областта на политиката за водите </w:t>
      </w:r>
      <w:bookmarkStart w:id="30" w:name="_Hlk54689024"/>
      <w:r w:rsidRPr="001F77C5">
        <w:rPr>
          <w:rFonts w:ascii="Times New Roman" w:eastAsia="Calibri" w:hAnsi="Times New Roman" w:cs="Times New Roman"/>
          <w:sz w:val="24"/>
          <w:szCs w:val="24"/>
        </w:rPr>
        <w:t xml:space="preserve">(РДВ) </w:t>
      </w:r>
      <w:bookmarkEnd w:id="30"/>
      <w:r w:rsidRPr="001F77C5">
        <w:rPr>
          <w:rFonts w:ascii="Times New Roman" w:eastAsia="Calibri" w:hAnsi="Times New Roman" w:cs="Times New Roman"/>
          <w:sz w:val="24"/>
          <w:szCs w:val="24"/>
        </w:rPr>
        <w:t>и свързаните с нея директиви, транспонирани в националното законодателство</w:t>
      </w:r>
      <w:r w:rsidR="000426ED">
        <w:rPr>
          <w:rFonts w:ascii="Times New Roman" w:eastAsia="Calibri" w:hAnsi="Times New Roman" w:cs="Times New Roman"/>
          <w:sz w:val="24"/>
          <w:szCs w:val="24"/>
        </w:rPr>
        <w:t xml:space="preserve"> чрез съответните нормативни актове.</w:t>
      </w:r>
    </w:p>
    <w:p w14:paraId="31DE1D38" w14:textId="77777777" w:rsidR="00A5352E" w:rsidRPr="00A5352E" w:rsidRDefault="00A5352E" w:rsidP="00A5352E">
      <w:pPr>
        <w:spacing w:after="0" w:line="276" w:lineRule="auto"/>
        <w:ind w:firstLine="709"/>
        <w:jc w:val="both"/>
        <w:rPr>
          <w:rFonts w:ascii="Times New Roman" w:eastAsia="Calibri" w:hAnsi="Times New Roman" w:cs="Times New Roman"/>
          <w:sz w:val="24"/>
          <w:szCs w:val="24"/>
        </w:rPr>
      </w:pPr>
      <w:r w:rsidRPr="00A5352E">
        <w:rPr>
          <w:rFonts w:ascii="Times New Roman" w:eastAsia="Calibri" w:hAnsi="Times New Roman" w:cs="Times New Roman"/>
          <w:sz w:val="24"/>
          <w:szCs w:val="24"/>
        </w:rPr>
        <w:t>Мониторингът на водите е част от Националната система за мониторинг на околната среда и се извършва в съответствие със Закона за водите, по одобрени от министъра на околната среда и водите програми. Програмите се изготвят от 4 басейнови дирекции и са част от разработените Планове за управление на речните басейни.</w:t>
      </w:r>
    </w:p>
    <w:p w14:paraId="5E712BE2" w14:textId="77777777" w:rsidR="00A5352E" w:rsidRPr="00A5352E" w:rsidRDefault="00A5352E" w:rsidP="00A5352E">
      <w:pPr>
        <w:spacing w:after="0" w:line="276" w:lineRule="auto"/>
        <w:ind w:firstLine="709"/>
        <w:jc w:val="both"/>
        <w:rPr>
          <w:rFonts w:ascii="Times New Roman" w:eastAsia="Calibri" w:hAnsi="Times New Roman" w:cs="Times New Roman"/>
          <w:sz w:val="24"/>
          <w:szCs w:val="24"/>
        </w:rPr>
      </w:pPr>
      <w:r w:rsidRPr="00A5352E">
        <w:rPr>
          <w:rFonts w:ascii="Times New Roman" w:eastAsia="Calibri" w:hAnsi="Times New Roman" w:cs="Times New Roman"/>
          <w:sz w:val="24"/>
          <w:szCs w:val="24"/>
        </w:rPr>
        <w:t>Мониторинговите програми биват програми за контролен, оперативен, а в случай на необходимост и за проучвателен мониторинг на химичното и биологичното състояние на повърхностните води и химичното и количественото състояние на подземните води. Целта на контролния мониторинг е да осигури необходимата информация за оценка на състоянието на всички водни тела, а целта на оперативния мониторинг е да се определи състоянието на водните тела (повърхностни и подземни) в риск и да оценят промените, които са настъпили в резултат от прилагането на програмата от мерки.</w:t>
      </w:r>
    </w:p>
    <w:p w14:paraId="355FD108" w14:textId="77777777" w:rsidR="00A5352E" w:rsidRPr="00A5352E" w:rsidRDefault="00A5352E" w:rsidP="00A5352E">
      <w:pPr>
        <w:spacing w:after="0" w:line="276" w:lineRule="auto"/>
        <w:ind w:firstLine="709"/>
        <w:jc w:val="both"/>
        <w:rPr>
          <w:rFonts w:ascii="Times New Roman" w:eastAsia="Calibri" w:hAnsi="Times New Roman" w:cs="Times New Roman"/>
          <w:sz w:val="24"/>
          <w:szCs w:val="24"/>
        </w:rPr>
      </w:pPr>
      <w:r w:rsidRPr="00A5352E">
        <w:rPr>
          <w:rFonts w:ascii="Times New Roman" w:eastAsia="Calibri" w:hAnsi="Times New Roman" w:cs="Times New Roman"/>
          <w:sz w:val="24"/>
          <w:szCs w:val="24"/>
        </w:rPr>
        <w:t>За зоните за защита на водите програмите се допълват с наблюдения, свързани със спецификата на зоната, определени в закона и в акта за учредяването ѝ.</w:t>
      </w:r>
    </w:p>
    <w:p w14:paraId="171B8283" w14:textId="2E1D93E5" w:rsidR="00A5352E" w:rsidRPr="00A5352E" w:rsidRDefault="00A5352E" w:rsidP="00A5352E">
      <w:pPr>
        <w:spacing w:after="0" w:line="276" w:lineRule="auto"/>
        <w:ind w:firstLine="709"/>
        <w:jc w:val="both"/>
        <w:rPr>
          <w:rFonts w:ascii="Times New Roman" w:eastAsia="Calibri" w:hAnsi="Times New Roman" w:cs="Times New Roman"/>
          <w:sz w:val="24"/>
          <w:szCs w:val="24"/>
        </w:rPr>
      </w:pPr>
      <w:r w:rsidRPr="00A5352E">
        <w:rPr>
          <w:rFonts w:ascii="Times New Roman" w:eastAsia="Calibri" w:hAnsi="Times New Roman" w:cs="Times New Roman"/>
          <w:sz w:val="24"/>
          <w:szCs w:val="24"/>
        </w:rPr>
        <w:lastRenderedPageBreak/>
        <w:t>Съгласно Закона за водите измерванията, наблюденията, полевите и лабораторните изследвания се извършват от ИАОС за качетвото на водите (химичното и биологичното състояние на повърхностните водни тела за категория реки, езера, преходни води и химичното и количественото състояние на подземните водни); Института по океанология при Българската академия на науките за морските води; Изпълнителна агенция "Проучване и поддържане на река Дунав" на количеството на водите на река Дунав и Националния институт по метеорология и хидрология за количеството на валежите, подземните и повърхностните води, включително наносния отток.</w:t>
      </w:r>
    </w:p>
    <w:p w14:paraId="279C3926" w14:textId="77777777" w:rsidR="00A5352E" w:rsidRDefault="00A5352E" w:rsidP="00A5352E">
      <w:pPr>
        <w:spacing w:after="0" w:line="276" w:lineRule="auto"/>
        <w:ind w:firstLine="709"/>
        <w:jc w:val="both"/>
        <w:rPr>
          <w:rFonts w:ascii="Times New Roman" w:eastAsia="Calibri" w:hAnsi="Times New Roman" w:cs="Times New Roman"/>
          <w:sz w:val="24"/>
          <w:szCs w:val="24"/>
        </w:rPr>
      </w:pPr>
      <w:r w:rsidRPr="00A5352E">
        <w:rPr>
          <w:rFonts w:ascii="Times New Roman" w:eastAsia="Calibri" w:hAnsi="Times New Roman" w:cs="Times New Roman"/>
          <w:sz w:val="24"/>
          <w:szCs w:val="24"/>
        </w:rPr>
        <w:t>В обхвата на Националната система за мониторинг на околната среда се включва и контрола на обектите формиращи емисиите на отпадъчни води и заустващи във водни обекти. Съгласно Наредба № 1 за мониторинг на водите на задължителен контрол подлежат всички обекти, които заустват в повърхностни води и подлежат на разрешителен режим по Закона за водите, и такива за които се изисква издаване на комплексно разрешително по реда на Закона за опазване на околната среда.</w:t>
      </w:r>
    </w:p>
    <w:p w14:paraId="5EEFCE87" w14:textId="30722FB0" w:rsidR="00D837DB" w:rsidRDefault="00D837DB" w:rsidP="00A5352E">
      <w:pPr>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Р</w:t>
      </w:r>
      <w:r w:rsidRPr="00D837DB">
        <w:rPr>
          <w:rFonts w:ascii="Times New Roman" w:eastAsia="Calibri" w:hAnsi="Times New Roman" w:cs="Times New Roman"/>
          <w:sz w:val="24"/>
          <w:szCs w:val="24"/>
        </w:rPr>
        <w:t>езултатите от провеждания от ИАОС мониторинг на водите се въвеждат в Геоинформационна система за управление на водите и докладване.   Данните за химичното и екологичното състояние на водите се използват от басейновите дирекции за  извършване на оценката на състоянието на водните тела. Данните от контролния мониторинг на отпадъчни води се използват за определяне на масовият товар от обектите формиращи отпадъчни води и при  инвентаризация на емисиите, заустванията и загубите на приоритетни вещества и някои други замърсители в съответствие с изискванията на Техническо ръководство № 28 на РДВ.</w:t>
      </w:r>
    </w:p>
    <w:p w14:paraId="3B0926C8" w14:textId="079ACFB2" w:rsidR="00087391" w:rsidRDefault="00087391" w:rsidP="00A5352E">
      <w:pPr>
        <w:spacing w:after="0" w:line="276" w:lineRule="auto"/>
        <w:ind w:firstLine="709"/>
        <w:jc w:val="both"/>
        <w:rPr>
          <w:rFonts w:ascii="Times New Roman" w:eastAsia="Calibri" w:hAnsi="Times New Roman" w:cs="Times New Roman"/>
          <w:sz w:val="24"/>
          <w:szCs w:val="24"/>
        </w:rPr>
      </w:pPr>
      <w:r w:rsidRPr="00087391">
        <w:rPr>
          <w:rFonts w:ascii="Times New Roman" w:eastAsia="Calibri" w:hAnsi="Times New Roman" w:cs="Times New Roman"/>
          <w:sz w:val="24"/>
          <w:szCs w:val="24"/>
        </w:rPr>
        <w:t>Оценката на екологичното състояние/потенциал на повърхностните водни тела отразява общите тенденции в промяната на екологичното състояние и евентуалните негативни въздействия, които водят до влошаване на състоянието на водните екосистеми</w:t>
      </w:r>
      <w:r w:rsidR="00953A7A">
        <w:rPr>
          <w:rFonts w:ascii="Times New Roman" w:eastAsia="Calibri" w:hAnsi="Times New Roman" w:cs="Times New Roman"/>
          <w:sz w:val="24"/>
          <w:szCs w:val="24"/>
        </w:rPr>
        <w:t>.</w:t>
      </w:r>
    </w:p>
    <w:p w14:paraId="06A34ADF" w14:textId="35A23582" w:rsidR="00953A7A" w:rsidRDefault="00953A7A" w:rsidP="00A5352E">
      <w:pPr>
        <w:spacing w:after="0" w:line="276" w:lineRule="auto"/>
        <w:ind w:firstLine="709"/>
        <w:jc w:val="both"/>
        <w:rPr>
          <w:rFonts w:ascii="Times New Roman" w:eastAsia="Calibri" w:hAnsi="Times New Roman" w:cs="Times New Roman"/>
          <w:sz w:val="24"/>
          <w:szCs w:val="24"/>
        </w:rPr>
      </w:pPr>
      <w:r w:rsidRPr="00953A7A">
        <w:rPr>
          <w:rFonts w:ascii="Times New Roman" w:eastAsia="Calibri" w:hAnsi="Times New Roman" w:cs="Times New Roman"/>
          <w:sz w:val="24"/>
          <w:szCs w:val="24"/>
        </w:rPr>
        <w:t>При оценка на химичното състояние се извършва анализ на средногодишните концентрации за всички приоритетни вещества и определените СКОС, съгласно Наредбата за СКОС.</w:t>
      </w:r>
    </w:p>
    <w:p w14:paraId="770830CD" w14:textId="173CFEC0" w:rsidR="00482099" w:rsidRDefault="00482099" w:rsidP="00A5352E">
      <w:pPr>
        <w:spacing w:after="0" w:line="276" w:lineRule="auto"/>
        <w:ind w:firstLine="709"/>
        <w:jc w:val="both"/>
        <w:rPr>
          <w:rFonts w:ascii="Times New Roman" w:eastAsia="Calibri" w:hAnsi="Times New Roman" w:cs="Times New Roman"/>
          <w:sz w:val="24"/>
          <w:szCs w:val="24"/>
        </w:rPr>
      </w:pPr>
      <w:r w:rsidRPr="00482099">
        <w:rPr>
          <w:rFonts w:ascii="Times New Roman" w:eastAsia="Calibri" w:hAnsi="Times New Roman" w:cs="Times New Roman"/>
          <w:sz w:val="24"/>
          <w:szCs w:val="24"/>
        </w:rPr>
        <w:t>Мониторингът, който се извършва за подземните води е мониторинг за качеството (химично състояние) и мониторинг за количеството (количествено състояние).</w:t>
      </w:r>
    </w:p>
    <w:p w14:paraId="592C75F7" w14:textId="77777777" w:rsidR="00B14269" w:rsidRDefault="00B14269" w:rsidP="00A5352E">
      <w:pPr>
        <w:spacing w:after="0" w:line="276" w:lineRule="auto"/>
        <w:ind w:firstLine="709"/>
        <w:jc w:val="both"/>
        <w:rPr>
          <w:rFonts w:ascii="Times New Roman" w:eastAsia="Calibri" w:hAnsi="Times New Roman" w:cs="Times New Roman"/>
          <w:b/>
          <w:bCs/>
          <w:i/>
          <w:iCs/>
          <w:sz w:val="24"/>
          <w:szCs w:val="24"/>
        </w:rPr>
      </w:pPr>
    </w:p>
    <w:p w14:paraId="61FFC0FB" w14:textId="70BB36A6" w:rsidR="00B14269" w:rsidRPr="00B14269" w:rsidRDefault="00B14269" w:rsidP="00A5352E">
      <w:pPr>
        <w:spacing w:after="0" w:line="276" w:lineRule="auto"/>
        <w:ind w:firstLine="709"/>
        <w:jc w:val="both"/>
        <w:rPr>
          <w:rFonts w:ascii="Times New Roman" w:eastAsia="Calibri" w:hAnsi="Times New Roman" w:cs="Times New Roman"/>
          <w:b/>
          <w:bCs/>
          <w:i/>
          <w:iCs/>
          <w:sz w:val="24"/>
          <w:szCs w:val="24"/>
        </w:rPr>
      </w:pPr>
      <w:r w:rsidRPr="00B14269">
        <w:rPr>
          <w:rFonts w:ascii="Times New Roman" w:eastAsia="Calibri" w:hAnsi="Times New Roman" w:cs="Times New Roman"/>
          <w:b/>
          <w:bCs/>
          <w:i/>
          <w:iCs/>
          <w:sz w:val="24"/>
          <w:szCs w:val="24"/>
        </w:rPr>
        <w:t>Дунавски район за управление на водите</w:t>
      </w:r>
    </w:p>
    <w:p w14:paraId="6CF9BC6E" w14:textId="395DB56E" w:rsidR="00B14269" w:rsidRPr="00B14269" w:rsidRDefault="00B14269" w:rsidP="00B14269">
      <w:pPr>
        <w:spacing w:after="0" w:line="276" w:lineRule="auto"/>
        <w:ind w:firstLine="709"/>
        <w:jc w:val="both"/>
        <w:rPr>
          <w:rFonts w:ascii="Times New Roman" w:eastAsia="Calibri" w:hAnsi="Times New Roman" w:cs="Times New Roman"/>
          <w:sz w:val="24"/>
          <w:szCs w:val="24"/>
        </w:rPr>
      </w:pPr>
      <w:r w:rsidRPr="00B14269">
        <w:rPr>
          <w:rFonts w:ascii="Times New Roman" w:eastAsia="Calibri" w:hAnsi="Times New Roman" w:cs="Times New Roman"/>
          <w:sz w:val="24"/>
          <w:szCs w:val="24"/>
        </w:rPr>
        <w:t>Анализът на обобщената оценката на екологичното състояние</w:t>
      </w:r>
      <w:r w:rsidR="00D33A73">
        <w:rPr>
          <w:rFonts w:ascii="Times New Roman" w:eastAsia="Calibri" w:hAnsi="Times New Roman" w:cs="Times New Roman"/>
          <w:sz w:val="24"/>
          <w:szCs w:val="24"/>
        </w:rPr>
        <w:t xml:space="preserve"> в ПУРБ 2022-2027 г.</w:t>
      </w:r>
      <w:r w:rsidRPr="00B14269">
        <w:rPr>
          <w:rFonts w:ascii="Times New Roman" w:eastAsia="Calibri" w:hAnsi="Times New Roman" w:cs="Times New Roman"/>
          <w:sz w:val="24"/>
          <w:szCs w:val="24"/>
        </w:rPr>
        <w:t xml:space="preserve"> показва, че от всички 256 броя повърхностни водни тела на територията на </w:t>
      </w:r>
      <w:r>
        <w:rPr>
          <w:rFonts w:ascii="Times New Roman" w:eastAsia="Calibri" w:hAnsi="Times New Roman" w:cs="Times New Roman"/>
          <w:sz w:val="24"/>
          <w:szCs w:val="24"/>
        </w:rPr>
        <w:t>Дунавски район</w:t>
      </w:r>
      <w:r w:rsidRPr="00B14269">
        <w:rPr>
          <w:rFonts w:ascii="Times New Roman" w:eastAsia="Calibri" w:hAnsi="Times New Roman" w:cs="Times New Roman"/>
          <w:sz w:val="24"/>
          <w:szCs w:val="24"/>
        </w:rPr>
        <w:t>, 104 броя са оценени в добро екологично състояние, което представлява приблизително 48% от всички естествени повърхностни водни тела. Тринадесет броя водни тела са оценени в добър екологичен потенциал, което представлява 32,5% от изкуствените и силномдифицираните водни тела.</w:t>
      </w:r>
    </w:p>
    <w:p w14:paraId="50EDF249" w14:textId="77777777" w:rsidR="00B14269" w:rsidRDefault="00B14269" w:rsidP="00B14269">
      <w:pPr>
        <w:spacing w:after="0" w:line="276" w:lineRule="auto"/>
        <w:ind w:firstLine="709"/>
        <w:jc w:val="both"/>
        <w:rPr>
          <w:rFonts w:ascii="Times New Roman" w:eastAsia="Calibri" w:hAnsi="Times New Roman" w:cs="Times New Roman"/>
          <w:sz w:val="24"/>
          <w:szCs w:val="24"/>
        </w:rPr>
      </w:pPr>
      <w:r w:rsidRPr="00B14269">
        <w:rPr>
          <w:rFonts w:ascii="Times New Roman" w:eastAsia="Calibri" w:hAnsi="Times New Roman" w:cs="Times New Roman"/>
          <w:sz w:val="24"/>
          <w:szCs w:val="24"/>
        </w:rPr>
        <w:t xml:space="preserve">В умерено състояние са оценени 91 броя естествени водни тела (42 %), в лошо състояние са оценени 13 броя ВТ и в много лошо 4 броя ВТ (общо в лошо и много лошо </w:t>
      </w:r>
      <w:r w:rsidRPr="00B14269">
        <w:rPr>
          <w:rFonts w:ascii="Times New Roman" w:eastAsia="Calibri" w:hAnsi="Times New Roman" w:cs="Times New Roman"/>
          <w:sz w:val="24"/>
          <w:szCs w:val="24"/>
        </w:rPr>
        <w:lastRenderedPageBreak/>
        <w:t xml:space="preserve">състояние - 7,8 %). Двадесет и седем броя изкуствени и силномодифицирани водни тела са оценени в по-лош от добър екологичен потенциал (67,5%). </w:t>
      </w:r>
    </w:p>
    <w:p w14:paraId="7C98DAD3" w14:textId="3DF090C0" w:rsidR="00B14269" w:rsidRDefault="00B14269" w:rsidP="00B14269">
      <w:pPr>
        <w:spacing w:after="0" w:line="276" w:lineRule="auto"/>
        <w:ind w:firstLine="709"/>
        <w:jc w:val="both"/>
        <w:rPr>
          <w:rFonts w:ascii="Times New Roman" w:eastAsia="Calibri" w:hAnsi="Times New Roman" w:cs="Times New Roman"/>
          <w:sz w:val="24"/>
          <w:szCs w:val="24"/>
        </w:rPr>
      </w:pPr>
      <w:r w:rsidRPr="00B14269">
        <w:rPr>
          <w:rFonts w:ascii="Times New Roman" w:eastAsia="Calibri" w:hAnsi="Times New Roman" w:cs="Times New Roman"/>
          <w:sz w:val="24"/>
          <w:szCs w:val="24"/>
        </w:rPr>
        <w:t>Оценката на Екологичното състояние на повърхностните водни тела</w:t>
      </w:r>
      <w:r>
        <w:rPr>
          <w:rFonts w:ascii="Times New Roman" w:eastAsia="Calibri" w:hAnsi="Times New Roman" w:cs="Times New Roman"/>
          <w:sz w:val="24"/>
          <w:szCs w:val="24"/>
        </w:rPr>
        <w:t xml:space="preserve"> е представена на следващата фигура.</w:t>
      </w:r>
    </w:p>
    <w:p w14:paraId="04CF9348" w14:textId="0F0FC52B" w:rsidR="00B14269" w:rsidRDefault="00B14269" w:rsidP="00B14269">
      <w:pPr>
        <w:spacing w:after="0" w:line="276" w:lineRule="auto"/>
        <w:ind w:firstLine="709"/>
        <w:jc w:val="both"/>
        <w:rPr>
          <w:rFonts w:ascii="Times New Roman" w:eastAsia="Calibri" w:hAnsi="Times New Roman" w:cs="Times New Roman"/>
          <w:sz w:val="24"/>
          <w:szCs w:val="24"/>
        </w:rPr>
      </w:pPr>
    </w:p>
    <w:p w14:paraId="257A4CF8" w14:textId="775144F9" w:rsidR="00B14269" w:rsidRDefault="00B14269" w:rsidP="00B14269">
      <w:pPr>
        <w:spacing w:after="0" w:line="276" w:lineRule="auto"/>
        <w:jc w:val="both"/>
        <w:rPr>
          <w:rFonts w:ascii="Times New Roman" w:eastAsia="Calibri" w:hAnsi="Times New Roman" w:cs="Times New Roman"/>
          <w:sz w:val="24"/>
          <w:szCs w:val="24"/>
        </w:rPr>
      </w:pPr>
      <w:r w:rsidRPr="00B14269">
        <w:rPr>
          <w:rFonts w:ascii="Times New Roman" w:eastAsia="Calibri" w:hAnsi="Times New Roman" w:cs="Times New Roman"/>
          <w:noProof/>
          <w:sz w:val="24"/>
          <w:szCs w:val="24"/>
          <w:lang w:eastAsia="bg-BG"/>
        </w:rPr>
        <w:drawing>
          <wp:inline distT="0" distB="0" distL="0" distR="0" wp14:anchorId="03D00BC8" wp14:editId="276EE450">
            <wp:extent cx="5943600" cy="4267835"/>
            <wp:effectExtent l="0" t="0" r="0" b="0"/>
            <wp:docPr id="1893722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722034" name=""/>
                    <pic:cNvPicPr/>
                  </pic:nvPicPr>
                  <pic:blipFill>
                    <a:blip r:embed="rId13"/>
                    <a:stretch>
                      <a:fillRect/>
                    </a:stretch>
                  </pic:blipFill>
                  <pic:spPr>
                    <a:xfrm>
                      <a:off x="0" y="0"/>
                      <a:ext cx="5943600" cy="4267835"/>
                    </a:xfrm>
                    <a:prstGeom prst="rect">
                      <a:avLst/>
                    </a:prstGeom>
                  </pic:spPr>
                </pic:pic>
              </a:graphicData>
            </a:graphic>
          </wp:inline>
        </w:drawing>
      </w:r>
    </w:p>
    <w:p w14:paraId="0182D410" w14:textId="6548D200" w:rsidR="00B14269" w:rsidRPr="00B14269" w:rsidRDefault="00B14269" w:rsidP="00A63945">
      <w:pPr>
        <w:spacing w:after="0" w:line="276" w:lineRule="auto"/>
        <w:ind w:firstLine="709"/>
        <w:jc w:val="both"/>
        <w:rPr>
          <w:rFonts w:ascii="Times New Roman" w:eastAsia="Calibri" w:hAnsi="Times New Roman" w:cs="Times New Roman"/>
          <w:bCs/>
          <w:i/>
          <w:iCs/>
          <w:sz w:val="24"/>
          <w:szCs w:val="24"/>
        </w:rPr>
      </w:pPr>
      <w:r w:rsidRPr="001F77C5">
        <w:rPr>
          <w:rFonts w:ascii="Times New Roman" w:eastAsia="Calibri" w:hAnsi="Times New Roman" w:cs="Times New Roman"/>
          <w:b/>
          <w:iCs/>
          <w:sz w:val="24"/>
          <w:szCs w:val="24"/>
        </w:rPr>
        <w:t>Фигура 2.1.3-</w:t>
      </w:r>
      <w:r>
        <w:rPr>
          <w:rFonts w:ascii="Times New Roman" w:eastAsia="Calibri" w:hAnsi="Times New Roman" w:cs="Times New Roman"/>
          <w:b/>
          <w:iCs/>
          <w:sz w:val="24"/>
          <w:szCs w:val="24"/>
        </w:rPr>
        <w:t>2</w:t>
      </w:r>
      <w:r w:rsidRPr="001F77C5">
        <w:rPr>
          <w:rFonts w:ascii="Times New Roman" w:eastAsia="Calibri" w:hAnsi="Times New Roman" w:cs="Times New Roman"/>
          <w:b/>
          <w:iCs/>
          <w:sz w:val="24"/>
          <w:szCs w:val="24"/>
        </w:rPr>
        <w:t>.</w:t>
      </w:r>
      <w:r>
        <w:rPr>
          <w:rFonts w:ascii="Times New Roman" w:eastAsia="Calibri" w:hAnsi="Times New Roman" w:cs="Times New Roman"/>
          <w:b/>
          <w:iCs/>
          <w:sz w:val="24"/>
          <w:szCs w:val="24"/>
        </w:rPr>
        <w:t xml:space="preserve"> </w:t>
      </w:r>
      <w:r w:rsidRPr="00B14269">
        <w:rPr>
          <w:rFonts w:ascii="Times New Roman" w:eastAsia="Calibri" w:hAnsi="Times New Roman" w:cs="Times New Roman"/>
          <w:bCs/>
          <w:iCs/>
          <w:sz w:val="24"/>
          <w:szCs w:val="24"/>
        </w:rPr>
        <w:t xml:space="preserve">Оценка на </w:t>
      </w:r>
      <w:r>
        <w:rPr>
          <w:rFonts w:ascii="Times New Roman" w:eastAsia="Calibri" w:hAnsi="Times New Roman" w:cs="Times New Roman"/>
          <w:bCs/>
          <w:iCs/>
          <w:sz w:val="24"/>
          <w:szCs w:val="24"/>
        </w:rPr>
        <w:t>е</w:t>
      </w:r>
      <w:r w:rsidRPr="00B14269">
        <w:rPr>
          <w:rFonts w:ascii="Times New Roman" w:eastAsia="Calibri" w:hAnsi="Times New Roman" w:cs="Times New Roman"/>
          <w:bCs/>
          <w:iCs/>
          <w:sz w:val="24"/>
          <w:szCs w:val="24"/>
        </w:rPr>
        <w:t xml:space="preserve">кологичното състояние на повърхностните водни тела </w:t>
      </w:r>
    </w:p>
    <w:p w14:paraId="1FF68C84" w14:textId="77777777" w:rsidR="00B14269" w:rsidRPr="00B14269" w:rsidRDefault="00B14269" w:rsidP="00A63945">
      <w:pPr>
        <w:spacing w:after="0" w:line="276" w:lineRule="auto"/>
        <w:ind w:firstLine="709"/>
        <w:jc w:val="both"/>
        <w:rPr>
          <w:rFonts w:ascii="Times New Roman" w:eastAsia="Calibri" w:hAnsi="Times New Roman" w:cs="Times New Roman"/>
          <w:bCs/>
          <w:i/>
          <w:iCs/>
          <w:sz w:val="24"/>
          <w:szCs w:val="24"/>
        </w:rPr>
      </w:pPr>
    </w:p>
    <w:p w14:paraId="21387BD9" w14:textId="36090C04" w:rsidR="00B14269" w:rsidRPr="00B14269" w:rsidRDefault="00B14269" w:rsidP="00B14269">
      <w:pPr>
        <w:spacing w:after="0" w:line="276"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Оценката на химичното състояние показва, че </w:t>
      </w:r>
      <w:r w:rsidRPr="00B14269">
        <w:rPr>
          <w:rFonts w:ascii="Times New Roman" w:eastAsia="Calibri" w:hAnsi="Times New Roman" w:cs="Times New Roman"/>
          <w:sz w:val="24"/>
          <w:szCs w:val="24"/>
        </w:rPr>
        <w:t>лошо</w:t>
      </w:r>
      <w:r>
        <w:rPr>
          <w:rFonts w:ascii="Times New Roman" w:eastAsia="Calibri" w:hAnsi="Times New Roman" w:cs="Times New Roman"/>
          <w:sz w:val="24"/>
          <w:szCs w:val="24"/>
        </w:rPr>
        <w:t>то</w:t>
      </w:r>
      <w:r w:rsidRPr="00B14269">
        <w:rPr>
          <w:rFonts w:ascii="Times New Roman" w:eastAsia="Calibri" w:hAnsi="Times New Roman" w:cs="Times New Roman"/>
          <w:sz w:val="24"/>
          <w:szCs w:val="24"/>
        </w:rPr>
        <w:t xml:space="preserve"> състояние се дължи основно на отклонения от СКОС на повсеместно разпространените замърсители. Броят на телата в неизвестно състояние е еднакъв и при двете представяния на оценките.</w:t>
      </w:r>
    </w:p>
    <w:p w14:paraId="5AAD121A" w14:textId="0EF409EE" w:rsidR="00B14269" w:rsidRPr="00B14269" w:rsidRDefault="00B14269" w:rsidP="00B14269">
      <w:pPr>
        <w:spacing w:after="0" w:line="276" w:lineRule="auto"/>
        <w:ind w:firstLine="709"/>
        <w:jc w:val="both"/>
        <w:rPr>
          <w:rFonts w:ascii="Times New Roman" w:eastAsia="Calibri" w:hAnsi="Times New Roman" w:cs="Times New Roman"/>
          <w:sz w:val="24"/>
          <w:szCs w:val="24"/>
        </w:rPr>
      </w:pPr>
      <w:r w:rsidRPr="00B14269">
        <w:rPr>
          <w:rFonts w:ascii="Times New Roman" w:eastAsia="Calibri" w:hAnsi="Times New Roman" w:cs="Times New Roman"/>
          <w:sz w:val="24"/>
          <w:szCs w:val="24"/>
        </w:rPr>
        <w:t>При сравнението между оценките на химичното състояние на повърхностите водни тела в ДРБУ в ПУРБ 2016 - 2021 г. и ПУРБ 2022 - 2027 г. се наблюдава повишаване на броя водни тела оценени в непостигащо добро състояние от 6 на 45 броя. В същото време броят на водните тела оценени в неизвестно състояние е намалял от 85 на 25 броя. Броят на водните тела в добро химично състояние се е увеличил от 165 на 186 броя.</w:t>
      </w:r>
    </w:p>
    <w:p w14:paraId="257BC7C3" w14:textId="02FA47C2" w:rsidR="00B14269" w:rsidRDefault="00B14269" w:rsidP="00B14269">
      <w:pPr>
        <w:spacing w:after="0" w:line="276" w:lineRule="auto"/>
        <w:ind w:firstLine="709"/>
        <w:jc w:val="both"/>
        <w:rPr>
          <w:rFonts w:ascii="Times New Roman" w:eastAsia="Calibri" w:hAnsi="Times New Roman" w:cs="Times New Roman"/>
          <w:sz w:val="24"/>
          <w:szCs w:val="24"/>
        </w:rPr>
      </w:pPr>
      <w:r w:rsidRPr="00B14269">
        <w:rPr>
          <w:rFonts w:ascii="Times New Roman" w:eastAsia="Calibri" w:hAnsi="Times New Roman" w:cs="Times New Roman"/>
          <w:sz w:val="24"/>
          <w:szCs w:val="24"/>
        </w:rPr>
        <w:t xml:space="preserve">Оценката на </w:t>
      </w:r>
      <w:r>
        <w:rPr>
          <w:rFonts w:ascii="Times New Roman" w:eastAsia="Calibri" w:hAnsi="Times New Roman" w:cs="Times New Roman"/>
          <w:sz w:val="24"/>
          <w:szCs w:val="24"/>
        </w:rPr>
        <w:t>химичното</w:t>
      </w:r>
      <w:r w:rsidRPr="00B14269">
        <w:rPr>
          <w:rFonts w:ascii="Times New Roman" w:eastAsia="Calibri" w:hAnsi="Times New Roman" w:cs="Times New Roman"/>
          <w:sz w:val="24"/>
          <w:szCs w:val="24"/>
        </w:rPr>
        <w:t xml:space="preserve"> състояние на повърхностните водни тела</w:t>
      </w:r>
      <w:r>
        <w:rPr>
          <w:rFonts w:ascii="Times New Roman" w:eastAsia="Calibri" w:hAnsi="Times New Roman" w:cs="Times New Roman"/>
          <w:sz w:val="24"/>
          <w:szCs w:val="24"/>
        </w:rPr>
        <w:t xml:space="preserve"> е представена на следващата фигура.</w:t>
      </w:r>
    </w:p>
    <w:p w14:paraId="44C3EDD2" w14:textId="40DCD3CB" w:rsidR="00B14269" w:rsidRDefault="00B14269" w:rsidP="00A63945">
      <w:pPr>
        <w:spacing w:after="0" w:line="276" w:lineRule="auto"/>
        <w:ind w:firstLine="709"/>
        <w:jc w:val="both"/>
        <w:rPr>
          <w:rFonts w:ascii="Times New Roman" w:eastAsia="Calibri" w:hAnsi="Times New Roman" w:cs="Times New Roman"/>
          <w:i/>
          <w:iCs/>
          <w:sz w:val="24"/>
          <w:szCs w:val="24"/>
        </w:rPr>
      </w:pPr>
      <w:r w:rsidRPr="00B14269">
        <w:rPr>
          <w:rFonts w:ascii="Times New Roman" w:eastAsia="Calibri" w:hAnsi="Times New Roman" w:cs="Times New Roman"/>
          <w:i/>
          <w:iCs/>
          <w:noProof/>
          <w:sz w:val="24"/>
          <w:szCs w:val="24"/>
          <w:lang w:eastAsia="bg-BG"/>
        </w:rPr>
        <w:lastRenderedPageBreak/>
        <w:drawing>
          <wp:inline distT="0" distB="0" distL="0" distR="0" wp14:anchorId="72B5E743" wp14:editId="4775F159">
            <wp:extent cx="4968671" cy="3093988"/>
            <wp:effectExtent l="0" t="0" r="3810" b="0"/>
            <wp:docPr id="736869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869908" name=""/>
                    <pic:cNvPicPr/>
                  </pic:nvPicPr>
                  <pic:blipFill>
                    <a:blip r:embed="rId14"/>
                    <a:stretch>
                      <a:fillRect/>
                    </a:stretch>
                  </pic:blipFill>
                  <pic:spPr>
                    <a:xfrm>
                      <a:off x="0" y="0"/>
                      <a:ext cx="4968671" cy="3093988"/>
                    </a:xfrm>
                    <a:prstGeom prst="rect">
                      <a:avLst/>
                    </a:prstGeom>
                  </pic:spPr>
                </pic:pic>
              </a:graphicData>
            </a:graphic>
          </wp:inline>
        </w:drawing>
      </w:r>
    </w:p>
    <w:p w14:paraId="7DBE4AF9" w14:textId="40F6A6CF" w:rsidR="00B14269" w:rsidRPr="00B14269" w:rsidRDefault="00B14269" w:rsidP="00B14269">
      <w:pPr>
        <w:spacing w:after="0" w:line="276" w:lineRule="auto"/>
        <w:ind w:firstLine="709"/>
        <w:jc w:val="both"/>
        <w:rPr>
          <w:rFonts w:ascii="Times New Roman" w:eastAsia="Calibri" w:hAnsi="Times New Roman" w:cs="Times New Roman"/>
          <w:bCs/>
          <w:i/>
          <w:iCs/>
          <w:sz w:val="24"/>
          <w:szCs w:val="24"/>
        </w:rPr>
      </w:pPr>
      <w:r w:rsidRPr="001F77C5">
        <w:rPr>
          <w:rFonts w:ascii="Times New Roman" w:eastAsia="Calibri" w:hAnsi="Times New Roman" w:cs="Times New Roman"/>
          <w:b/>
          <w:iCs/>
          <w:sz w:val="24"/>
          <w:szCs w:val="24"/>
        </w:rPr>
        <w:t>Фигура 2.1.3-</w:t>
      </w:r>
      <w:r>
        <w:rPr>
          <w:rFonts w:ascii="Times New Roman" w:eastAsia="Calibri" w:hAnsi="Times New Roman" w:cs="Times New Roman"/>
          <w:b/>
          <w:iCs/>
          <w:sz w:val="24"/>
          <w:szCs w:val="24"/>
        </w:rPr>
        <w:t>3</w:t>
      </w:r>
      <w:r w:rsidRPr="001F77C5">
        <w:rPr>
          <w:rFonts w:ascii="Times New Roman" w:eastAsia="Calibri" w:hAnsi="Times New Roman" w:cs="Times New Roman"/>
          <w:b/>
          <w:iCs/>
          <w:sz w:val="24"/>
          <w:szCs w:val="24"/>
        </w:rPr>
        <w:t>.</w:t>
      </w:r>
      <w:r>
        <w:rPr>
          <w:rFonts w:ascii="Times New Roman" w:eastAsia="Calibri" w:hAnsi="Times New Roman" w:cs="Times New Roman"/>
          <w:b/>
          <w:iCs/>
          <w:sz w:val="24"/>
          <w:szCs w:val="24"/>
        </w:rPr>
        <w:t xml:space="preserve"> </w:t>
      </w:r>
      <w:r w:rsidRPr="00B14269">
        <w:rPr>
          <w:rFonts w:ascii="Times New Roman" w:eastAsia="Calibri" w:hAnsi="Times New Roman" w:cs="Times New Roman"/>
          <w:bCs/>
          <w:iCs/>
          <w:sz w:val="24"/>
          <w:szCs w:val="24"/>
        </w:rPr>
        <w:t xml:space="preserve">Оценка на </w:t>
      </w:r>
      <w:r>
        <w:rPr>
          <w:rFonts w:ascii="Times New Roman" w:eastAsia="Calibri" w:hAnsi="Times New Roman" w:cs="Times New Roman"/>
          <w:bCs/>
          <w:iCs/>
          <w:sz w:val="24"/>
          <w:szCs w:val="24"/>
        </w:rPr>
        <w:t xml:space="preserve">химичното </w:t>
      </w:r>
      <w:r w:rsidRPr="00B14269">
        <w:rPr>
          <w:rFonts w:ascii="Times New Roman" w:eastAsia="Calibri" w:hAnsi="Times New Roman" w:cs="Times New Roman"/>
          <w:bCs/>
          <w:iCs/>
          <w:sz w:val="24"/>
          <w:szCs w:val="24"/>
        </w:rPr>
        <w:t xml:space="preserve">състояние на повърхностните водни тела </w:t>
      </w:r>
    </w:p>
    <w:p w14:paraId="084F3CEE" w14:textId="77777777" w:rsidR="00B14269" w:rsidRDefault="00B14269" w:rsidP="00B14269">
      <w:pPr>
        <w:spacing w:after="0" w:line="276" w:lineRule="auto"/>
        <w:ind w:firstLine="709"/>
        <w:jc w:val="both"/>
        <w:rPr>
          <w:rFonts w:ascii="Times New Roman" w:eastAsia="Calibri" w:hAnsi="Times New Roman" w:cs="Times New Roman"/>
          <w:bCs/>
          <w:i/>
          <w:iCs/>
          <w:sz w:val="24"/>
          <w:szCs w:val="24"/>
        </w:rPr>
      </w:pPr>
    </w:p>
    <w:p w14:paraId="6C6DFE76" w14:textId="77777777" w:rsidR="00D557F0" w:rsidRPr="00D557F0" w:rsidRDefault="00D557F0" w:rsidP="00D557F0">
      <w:pPr>
        <w:spacing w:after="0" w:line="276" w:lineRule="auto"/>
        <w:ind w:firstLine="709"/>
        <w:contextualSpacing/>
        <w:jc w:val="both"/>
        <w:rPr>
          <w:rFonts w:ascii="Times New Roman" w:hAnsi="Times New Roman" w:cs="Times New Roman"/>
          <w:b/>
          <w:bCs/>
          <w:i/>
          <w:iCs/>
          <w:sz w:val="24"/>
          <w:szCs w:val="24"/>
        </w:rPr>
      </w:pPr>
      <w:r w:rsidRPr="00D557F0">
        <w:rPr>
          <w:rFonts w:ascii="Times New Roman" w:hAnsi="Times New Roman" w:cs="Times New Roman"/>
          <w:b/>
          <w:bCs/>
          <w:i/>
          <w:iCs/>
          <w:sz w:val="24"/>
          <w:szCs w:val="24"/>
        </w:rPr>
        <w:t xml:space="preserve">Западнобеломорски </w:t>
      </w:r>
      <w:r>
        <w:rPr>
          <w:rFonts w:ascii="Times New Roman" w:hAnsi="Times New Roman" w:cs="Times New Roman"/>
          <w:b/>
          <w:bCs/>
          <w:i/>
          <w:iCs/>
          <w:sz w:val="24"/>
          <w:szCs w:val="24"/>
        </w:rPr>
        <w:t>р</w:t>
      </w:r>
      <w:r w:rsidRPr="00D557F0">
        <w:rPr>
          <w:rFonts w:ascii="Times New Roman" w:hAnsi="Times New Roman" w:cs="Times New Roman"/>
          <w:b/>
          <w:bCs/>
          <w:i/>
          <w:iCs/>
          <w:sz w:val="24"/>
          <w:szCs w:val="24"/>
        </w:rPr>
        <w:t>айон</w:t>
      </w:r>
    </w:p>
    <w:p w14:paraId="098392FC" w14:textId="77777777" w:rsidR="00810C5B" w:rsidRPr="00810C5B" w:rsidRDefault="00810C5B" w:rsidP="00810C5B">
      <w:pPr>
        <w:spacing w:after="0" w:line="276" w:lineRule="auto"/>
        <w:ind w:firstLine="709"/>
        <w:jc w:val="both"/>
        <w:rPr>
          <w:rFonts w:ascii="Times New Roman" w:eastAsia="Calibri" w:hAnsi="Times New Roman" w:cs="Times New Roman"/>
          <w:bCs/>
          <w:sz w:val="24"/>
          <w:szCs w:val="24"/>
        </w:rPr>
      </w:pPr>
      <w:r w:rsidRPr="00810C5B">
        <w:rPr>
          <w:rFonts w:ascii="Times New Roman" w:eastAsia="Calibri" w:hAnsi="Times New Roman" w:cs="Times New Roman"/>
          <w:bCs/>
          <w:sz w:val="24"/>
          <w:szCs w:val="24"/>
        </w:rPr>
        <w:t>Анализът на резултатите от оценката на екологичното състояние/потенциал на повърхностните водни тела в настоящия ПУРБ на Западнобеломорски район 2022 – 2027 г. показва следното:</w:t>
      </w:r>
    </w:p>
    <w:p w14:paraId="17AA77A9" w14:textId="77777777" w:rsidR="00810C5B" w:rsidRPr="00810C5B" w:rsidRDefault="00810C5B" w:rsidP="00810C5B">
      <w:pPr>
        <w:spacing w:after="0" w:line="276" w:lineRule="auto"/>
        <w:ind w:firstLine="709"/>
        <w:jc w:val="both"/>
        <w:rPr>
          <w:rFonts w:ascii="Times New Roman" w:eastAsia="Calibri" w:hAnsi="Times New Roman" w:cs="Times New Roman"/>
          <w:bCs/>
          <w:sz w:val="24"/>
          <w:szCs w:val="24"/>
        </w:rPr>
      </w:pPr>
      <w:r w:rsidRPr="00810C5B">
        <w:rPr>
          <w:rFonts w:ascii="Times New Roman" w:eastAsia="Calibri" w:hAnsi="Times New Roman" w:cs="Times New Roman"/>
          <w:bCs/>
          <w:sz w:val="24"/>
          <w:szCs w:val="24"/>
        </w:rPr>
        <w:t>• Няма повърхностни водни тела, които са оценени в отлично състояние/максимален екологичен потенциал;</w:t>
      </w:r>
    </w:p>
    <w:p w14:paraId="01BD4505" w14:textId="77777777" w:rsidR="00810C5B" w:rsidRPr="00810C5B" w:rsidRDefault="00810C5B" w:rsidP="00810C5B">
      <w:pPr>
        <w:spacing w:after="0" w:line="276" w:lineRule="auto"/>
        <w:ind w:firstLine="709"/>
        <w:jc w:val="both"/>
        <w:rPr>
          <w:rFonts w:ascii="Times New Roman" w:eastAsia="Calibri" w:hAnsi="Times New Roman" w:cs="Times New Roman"/>
          <w:bCs/>
          <w:sz w:val="24"/>
          <w:szCs w:val="24"/>
        </w:rPr>
      </w:pPr>
      <w:r w:rsidRPr="00810C5B">
        <w:rPr>
          <w:rFonts w:ascii="Times New Roman" w:eastAsia="Calibri" w:hAnsi="Times New Roman" w:cs="Times New Roman"/>
          <w:bCs/>
          <w:sz w:val="24"/>
          <w:szCs w:val="24"/>
        </w:rPr>
        <w:t>• 86 водни тела - 47 % са в добро екологично състояние/потенциал;</w:t>
      </w:r>
    </w:p>
    <w:p w14:paraId="550D9440" w14:textId="77777777" w:rsidR="00810C5B" w:rsidRPr="00810C5B" w:rsidRDefault="00810C5B" w:rsidP="00810C5B">
      <w:pPr>
        <w:spacing w:after="0" w:line="276" w:lineRule="auto"/>
        <w:ind w:firstLine="709"/>
        <w:jc w:val="both"/>
        <w:rPr>
          <w:rFonts w:ascii="Times New Roman" w:eastAsia="Calibri" w:hAnsi="Times New Roman" w:cs="Times New Roman"/>
          <w:bCs/>
          <w:sz w:val="24"/>
          <w:szCs w:val="24"/>
        </w:rPr>
      </w:pPr>
      <w:r w:rsidRPr="00810C5B">
        <w:rPr>
          <w:rFonts w:ascii="Times New Roman" w:eastAsia="Calibri" w:hAnsi="Times New Roman" w:cs="Times New Roman"/>
          <w:bCs/>
          <w:sz w:val="24"/>
          <w:szCs w:val="24"/>
        </w:rPr>
        <w:t>• 62 водни тела – 34 % са в умерено екологично състояние/потенциал;</w:t>
      </w:r>
    </w:p>
    <w:p w14:paraId="04FD4761" w14:textId="77777777" w:rsidR="00810C5B" w:rsidRPr="00810C5B" w:rsidRDefault="00810C5B" w:rsidP="00810C5B">
      <w:pPr>
        <w:spacing w:after="0" w:line="276" w:lineRule="auto"/>
        <w:ind w:firstLine="709"/>
        <w:jc w:val="both"/>
        <w:rPr>
          <w:rFonts w:ascii="Times New Roman" w:eastAsia="Calibri" w:hAnsi="Times New Roman" w:cs="Times New Roman"/>
          <w:bCs/>
          <w:sz w:val="24"/>
          <w:szCs w:val="24"/>
        </w:rPr>
      </w:pPr>
      <w:r w:rsidRPr="00810C5B">
        <w:rPr>
          <w:rFonts w:ascii="Times New Roman" w:eastAsia="Calibri" w:hAnsi="Times New Roman" w:cs="Times New Roman"/>
          <w:bCs/>
          <w:sz w:val="24"/>
          <w:szCs w:val="24"/>
        </w:rPr>
        <w:t>• 15 водни тела – 8,1 % са в лошо екологично състояние/потенциал;</w:t>
      </w:r>
    </w:p>
    <w:p w14:paraId="03A7FC7B" w14:textId="77777777" w:rsidR="00810C5B" w:rsidRPr="00810C5B" w:rsidRDefault="00810C5B" w:rsidP="00810C5B">
      <w:pPr>
        <w:spacing w:after="0" w:line="276" w:lineRule="auto"/>
        <w:ind w:firstLine="709"/>
        <w:jc w:val="both"/>
        <w:rPr>
          <w:rFonts w:ascii="Times New Roman" w:eastAsia="Calibri" w:hAnsi="Times New Roman" w:cs="Times New Roman"/>
          <w:bCs/>
          <w:sz w:val="24"/>
          <w:szCs w:val="24"/>
        </w:rPr>
      </w:pPr>
      <w:r w:rsidRPr="00810C5B">
        <w:rPr>
          <w:rFonts w:ascii="Times New Roman" w:eastAsia="Calibri" w:hAnsi="Times New Roman" w:cs="Times New Roman"/>
          <w:bCs/>
          <w:sz w:val="24"/>
          <w:szCs w:val="24"/>
        </w:rPr>
        <w:t>• 19 водни тела – 10,4 % са в много лошо екологично състояние/потенциал;</w:t>
      </w:r>
    </w:p>
    <w:p w14:paraId="01DAD37B" w14:textId="5E8D9C8D" w:rsidR="00810C5B" w:rsidRPr="00810C5B" w:rsidRDefault="00810C5B" w:rsidP="00810C5B">
      <w:pPr>
        <w:spacing w:after="0" w:line="276" w:lineRule="auto"/>
        <w:ind w:firstLine="709"/>
        <w:jc w:val="both"/>
        <w:rPr>
          <w:rFonts w:ascii="Times New Roman" w:eastAsia="Calibri" w:hAnsi="Times New Roman" w:cs="Times New Roman"/>
          <w:bCs/>
          <w:sz w:val="24"/>
          <w:szCs w:val="24"/>
        </w:rPr>
      </w:pPr>
      <w:r w:rsidRPr="00810C5B">
        <w:rPr>
          <w:rFonts w:ascii="Times New Roman" w:eastAsia="Calibri" w:hAnsi="Times New Roman" w:cs="Times New Roman"/>
          <w:bCs/>
          <w:sz w:val="24"/>
          <w:szCs w:val="24"/>
        </w:rPr>
        <w:t>• 1 водно тяло - 0,5% е в неизвестно екологично състояние.</w:t>
      </w:r>
    </w:p>
    <w:p w14:paraId="699F25E3" w14:textId="77777777" w:rsidR="00810C5B" w:rsidRPr="00810C5B" w:rsidRDefault="00810C5B" w:rsidP="00810C5B">
      <w:pPr>
        <w:spacing w:after="0" w:line="276" w:lineRule="auto"/>
        <w:ind w:firstLine="709"/>
        <w:jc w:val="both"/>
        <w:rPr>
          <w:rFonts w:ascii="Times New Roman" w:eastAsia="Calibri" w:hAnsi="Times New Roman" w:cs="Times New Roman"/>
          <w:bCs/>
          <w:sz w:val="24"/>
          <w:szCs w:val="24"/>
        </w:rPr>
      </w:pPr>
      <w:r w:rsidRPr="00810C5B">
        <w:rPr>
          <w:rFonts w:ascii="Times New Roman" w:eastAsia="Calibri" w:hAnsi="Times New Roman" w:cs="Times New Roman"/>
          <w:bCs/>
          <w:sz w:val="24"/>
          <w:szCs w:val="24"/>
        </w:rPr>
        <w:t>Сравнителната оценка на екологичното състояние между ПУРБ 2 (за периода 2016-2021 г.) и ПУРБ 3 (за периода 2022 – 2027 г.) показва следното:</w:t>
      </w:r>
    </w:p>
    <w:p w14:paraId="197D6410" w14:textId="77777777" w:rsidR="00810C5B" w:rsidRPr="00810C5B" w:rsidRDefault="00810C5B" w:rsidP="00810C5B">
      <w:pPr>
        <w:spacing w:after="0" w:line="276" w:lineRule="auto"/>
        <w:ind w:firstLine="709"/>
        <w:jc w:val="both"/>
        <w:rPr>
          <w:rFonts w:ascii="Times New Roman" w:eastAsia="Calibri" w:hAnsi="Times New Roman" w:cs="Times New Roman"/>
          <w:bCs/>
          <w:sz w:val="24"/>
          <w:szCs w:val="24"/>
        </w:rPr>
      </w:pPr>
      <w:r w:rsidRPr="00810C5B">
        <w:rPr>
          <w:rFonts w:ascii="Times New Roman" w:eastAsia="Calibri" w:hAnsi="Times New Roman" w:cs="Times New Roman"/>
          <w:bCs/>
          <w:sz w:val="24"/>
          <w:szCs w:val="24"/>
        </w:rPr>
        <w:t>• Наблюдава се подобрение в 8 броя водни тела (4,3% от всички повърхностни водни тела), от които 4 броя водни тела оценени в умерено състояние в предишния ПУРБ сега са оценени в добро състояние, а за останалите 4 броя са показали подобрение при отделни елементи за качество, но все още състоянието се оценява като по-малко от добро;</w:t>
      </w:r>
    </w:p>
    <w:p w14:paraId="7A74712E" w14:textId="2232A04B" w:rsidR="00810C5B" w:rsidRPr="00810C5B" w:rsidRDefault="00810C5B" w:rsidP="00810C5B">
      <w:pPr>
        <w:spacing w:after="0" w:line="276" w:lineRule="auto"/>
        <w:ind w:firstLine="709"/>
        <w:jc w:val="both"/>
        <w:rPr>
          <w:rFonts w:ascii="Times New Roman" w:eastAsia="Calibri" w:hAnsi="Times New Roman" w:cs="Times New Roman"/>
          <w:bCs/>
          <w:sz w:val="24"/>
          <w:szCs w:val="24"/>
        </w:rPr>
      </w:pPr>
      <w:r w:rsidRPr="00810C5B">
        <w:rPr>
          <w:rFonts w:ascii="Times New Roman" w:eastAsia="Calibri" w:hAnsi="Times New Roman" w:cs="Times New Roman"/>
          <w:bCs/>
          <w:sz w:val="24"/>
          <w:szCs w:val="24"/>
        </w:rPr>
        <w:t>• Общият брой на водните тела, оценени в по-лошо от добро състояние/потенциал в предходния ПУРБ 2016-2021 г. е 63 водни тела – 34 % водни тела, докато в настоящия ПУРБ 2022 – 2027 г. този брой се е увеличил на 96 водни тела – 52 %.;</w:t>
      </w:r>
    </w:p>
    <w:p w14:paraId="64D2E114" w14:textId="357D5637" w:rsidR="00810C5B" w:rsidRPr="00810C5B" w:rsidRDefault="00810C5B" w:rsidP="00810C5B">
      <w:pPr>
        <w:spacing w:after="0" w:line="276" w:lineRule="auto"/>
        <w:ind w:firstLine="709"/>
        <w:jc w:val="both"/>
        <w:rPr>
          <w:rFonts w:ascii="Times New Roman" w:eastAsia="Calibri" w:hAnsi="Times New Roman" w:cs="Times New Roman"/>
          <w:bCs/>
          <w:sz w:val="24"/>
          <w:szCs w:val="24"/>
        </w:rPr>
      </w:pPr>
      <w:r w:rsidRPr="00810C5B">
        <w:rPr>
          <w:rFonts w:ascii="Times New Roman" w:eastAsia="Calibri" w:hAnsi="Times New Roman" w:cs="Times New Roman"/>
          <w:bCs/>
          <w:sz w:val="24"/>
          <w:szCs w:val="24"/>
        </w:rPr>
        <w:t>• Подобрени са оценките на екологичното състояние на водните тела в неизвестно състояние.</w:t>
      </w:r>
      <w:r>
        <w:rPr>
          <w:rFonts w:ascii="Times New Roman" w:eastAsia="Calibri" w:hAnsi="Times New Roman" w:cs="Times New Roman"/>
          <w:bCs/>
          <w:sz w:val="24"/>
          <w:szCs w:val="24"/>
        </w:rPr>
        <w:t xml:space="preserve"> Към момента</w:t>
      </w:r>
      <w:r w:rsidRPr="00810C5B">
        <w:rPr>
          <w:rFonts w:ascii="Times New Roman" w:eastAsia="Calibri" w:hAnsi="Times New Roman" w:cs="Times New Roman"/>
          <w:bCs/>
          <w:sz w:val="24"/>
          <w:szCs w:val="24"/>
        </w:rPr>
        <w:t xml:space="preserve"> в неизвестно състояние са 0,5% или само едно водно тяло. По–</w:t>
      </w:r>
      <w:r w:rsidRPr="00810C5B">
        <w:rPr>
          <w:rFonts w:ascii="Times New Roman" w:eastAsia="Calibri" w:hAnsi="Times New Roman" w:cs="Times New Roman"/>
          <w:bCs/>
          <w:sz w:val="24"/>
          <w:szCs w:val="24"/>
        </w:rPr>
        <w:lastRenderedPageBreak/>
        <w:t>големият процент водни тела с по-ниско от добро екологично състоянието на водните тела до голяма степен е резултат от подобрения и увеличен мониторинг;</w:t>
      </w:r>
    </w:p>
    <w:p w14:paraId="0911B20E" w14:textId="6C1F881D" w:rsidR="00810C5B" w:rsidRPr="00810C5B" w:rsidRDefault="00810C5B" w:rsidP="00810C5B">
      <w:pPr>
        <w:spacing w:after="0" w:line="276" w:lineRule="auto"/>
        <w:ind w:firstLine="709"/>
        <w:jc w:val="both"/>
        <w:rPr>
          <w:rFonts w:ascii="Times New Roman" w:eastAsia="Calibri" w:hAnsi="Times New Roman" w:cs="Times New Roman"/>
          <w:bCs/>
          <w:sz w:val="24"/>
          <w:szCs w:val="24"/>
        </w:rPr>
      </w:pPr>
      <w:r w:rsidRPr="00810C5B">
        <w:rPr>
          <w:rFonts w:ascii="Times New Roman" w:eastAsia="Calibri" w:hAnsi="Times New Roman" w:cs="Times New Roman"/>
          <w:bCs/>
          <w:sz w:val="24"/>
          <w:szCs w:val="24"/>
        </w:rPr>
        <w:t>• Едно водно тяло</w:t>
      </w:r>
      <w:r>
        <w:rPr>
          <w:rFonts w:ascii="Times New Roman" w:eastAsia="Calibri" w:hAnsi="Times New Roman" w:cs="Times New Roman"/>
          <w:bCs/>
          <w:sz w:val="24"/>
          <w:szCs w:val="24"/>
        </w:rPr>
        <w:t xml:space="preserve"> </w:t>
      </w:r>
      <w:r w:rsidRPr="00810C5B">
        <w:rPr>
          <w:rFonts w:ascii="Times New Roman" w:eastAsia="Calibri" w:hAnsi="Times New Roman" w:cs="Times New Roman"/>
          <w:bCs/>
          <w:sz w:val="24"/>
          <w:szCs w:val="24"/>
        </w:rPr>
        <w:t>е останало в неизвестно състояние</w:t>
      </w:r>
      <w:r>
        <w:rPr>
          <w:rFonts w:ascii="Times New Roman" w:eastAsia="Calibri" w:hAnsi="Times New Roman" w:cs="Times New Roman"/>
          <w:bCs/>
          <w:sz w:val="24"/>
          <w:szCs w:val="24"/>
        </w:rPr>
        <w:t xml:space="preserve">, тъй като е </w:t>
      </w:r>
      <w:r w:rsidRPr="00810C5B">
        <w:rPr>
          <w:rFonts w:ascii="Times New Roman" w:eastAsia="Calibri" w:hAnsi="Times New Roman" w:cs="Times New Roman"/>
          <w:bCs/>
          <w:sz w:val="24"/>
          <w:szCs w:val="24"/>
        </w:rPr>
        <w:t>труднодостъпно за извършване на мониторинг, разположено в алпийската част на Рила планина;</w:t>
      </w:r>
    </w:p>
    <w:p w14:paraId="6F120932" w14:textId="42185FE5" w:rsidR="00810C5B" w:rsidRPr="00810C5B" w:rsidRDefault="00810C5B" w:rsidP="00810C5B">
      <w:pPr>
        <w:spacing w:after="0" w:line="276" w:lineRule="auto"/>
        <w:ind w:firstLine="709"/>
        <w:jc w:val="both"/>
        <w:rPr>
          <w:rFonts w:ascii="Times New Roman" w:eastAsia="Calibri" w:hAnsi="Times New Roman" w:cs="Times New Roman"/>
          <w:bCs/>
          <w:sz w:val="24"/>
          <w:szCs w:val="24"/>
        </w:rPr>
      </w:pPr>
      <w:r w:rsidRPr="00810C5B">
        <w:rPr>
          <w:rFonts w:ascii="Times New Roman" w:eastAsia="Calibri" w:hAnsi="Times New Roman" w:cs="Times New Roman"/>
          <w:bCs/>
          <w:sz w:val="24"/>
          <w:szCs w:val="24"/>
        </w:rPr>
        <w:t>• Без промяна в екологичното състояние са общо 110 повърхностни водни тела - 60 %, от тях без промяна „със запазване“ на доброто екологично състояние са общо 77 водни тела – 42 % от всички водни тела. За останалите 33 водни тела – 18 % от всички водни тела, за които не е констатирана промяна в екологичното състояние между двата плана и същите все още не са постигнали екологичните цели за добро състояние/потенциал може да се предположи, че планираните и приложени за тях мерки все още не са дали необходимия резултат.</w:t>
      </w:r>
    </w:p>
    <w:p w14:paraId="555C2401" w14:textId="77777777" w:rsidR="00810C5B" w:rsidRDefault="00810C5B" w:rsidP="00B14269">
      <w:pPr>
        <w:spacing w:after="0" w:line="276" w:lineRule="auto"/>
        <w:ind w:firstLine="709"/>
        <w:jc w:val="both"/>
        <w:rPr>
          <w:rFonts w:ascii="Times New Roman" w:eastAsia="Calibri" w:hAnsi="Times New Roman" w:cs="Times New Roman"/>
          <w:bCs/>
          <w:i/>
          <w:iCs/>
          <w:sz w:val="24"/>
          <w:szCs w:val="24"/>
        </w:rPr>
      </w:pPr>
    </w:p>
    <w:p w14:paraId="7D83BCCB" w14:textId="35EEE18D" w:rsidR="00C170F1" w:rsidRDefault="00C170F1" w:rsidP="00C170F1">
      <w:pPr>
        <w:spacing w:after="0" w:line="276" w:lineRule="auto"/>
        <w:jc w:val="both"/>
        <w:rPr>
          <w:rFonts w:ascii="Times New Roman" w:eastAsia="Calibri" w:hAnsi="Times New Roman" w:cs="Times New Roman"/>
          <w:bCs/>
          <w:i/>
          <w:iCs/>
          <w:sz w:val="24"/>
          <w:szCs w:val="24"/>
        </w:rPr>
      </w:pPr>
      <w:r w:rsidRPr="00C170F1">
        <w:rPr>
          <w:rFonts w:ascii="Times New Roman" w:eastAsia="Calibri" w:hAnsi="Times New Roman" w:cs="Times New Roman"/>
          <w:bCs/>
          <w:i/>
          <w:iCs/>
          <w:noProof/>
          <w:sz w:val="24"/>
          <w:szCs w:val="24"/>
          <w:lang w:eastAsia="bg-BG"/>
        </w:rPr>
        <w:drawing>
          <wp:inline distT="0" distB="0" distL="0" distR="0" wp14:anchorId="284FC121" wp14:editId="1D8ABB80">
            <wp:extent cx="5943600" cy="4236720"/>
            <wp:effectExtent l="0" t="0" r="0" b="0"/>
            <wp:docPr id="1271748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748771" name=""/>
                    <pic:cNvPicPr/>
                  </pic:nvPicPr>
                  <pic:blipFill>
                    <a:blip r:embed="rId15"/>
                    <a:stretch>
                      <a:fillRect/>
                    </a:stretch>
                  </pic:blipFill>
                  <pic:spPr>
                    <a:xfrm>
                      <a:off x="0" y="0"/>
                      <a:ext cx="5943600" cy="4236720"/>
                    </a:xfrm>
                    <a:prstGeom prst="rect">
                      <a:avLst/>
                    </a:prstGeom>
                  </pic:spPr>
                </pic:pic>
              </a:graphicData>
            </a:graphic>
          </wp:inline>
        </w:drawing>
      </w:r>
    </w:p>
    <w:p w14:paraId="7E8F5189" w14:textId="743ED041" w:rsidR="00C170F1" w:rsidRDefault="00C170F1" w:rsidP="00B14269">
      <w:pPr>
        <w:spacing w:after="0" w:line="276" w:lineRule="auto"/>
        <w:ind w:firstLine="709"/>
        <w:jc w:val="both"/>
        <w:rPr>
          <w:rFonts w:ascii="Times New Roman" w:eastAsia="Calibri" w:hAnsi="Times New Roman" w:cs="Times New Roman"/>
          <w:bCs/>
          <w:sz w:val="24"/>
          <w:szCs w:val="24"/>
        </w:rPr>
      </w:pPr>
      <w:r w:rsidRPr="001F77C5">
        <w:rPr>
          <w:rFonts w:ascii="Times New Roman" w:eastAsia="Calibri" w:hAnsi="Times New Roman" w:cs="Times New Roman"/>
          <w:b/>
          <w:iCs/>
          <w:sz w:val="24"/>
          <w:szCs w:val="24"/>
        </w:rPr>
        <w:t>Фигура 2.1.3-</w:t>
      </w:r>
      <w:r>
        <w:rPr>
          <w:rFonts w:ascii="Times New Roman" w:eastAsia="Calibri" w:hAnsi="Times New Roman" w:cs="Times New Roman"/>
          <w:b/>
          <w:iCs/>
          <w:sz w:val="24"/>
          <w:szCs w:val="24"/>
        </w:rPr>
        <w:t>4</w:t>
      </w:r>
      <w:r w:rsidRPr="001F77C5">
        <w:rPr>
          <w:rFonts w:ascii="Times New Roman" w:eastAsia="Calibri" w:hAnsi="Times New Roman" w:cs="Times New Roman"/>
          <w:b/>
          <w:iCs/>
          <w:sz w:val="24"/>
          <w:szCs w:val="24"/>
        </w:rPr>
        <w:t>.</w:t>
      </w:r>
      <w:r>
        <w:rPr>
          <w:rFonts w:ascii="Times New Roman" w:eastAsia="Calibri" w:hAnsi="Times New Roman" w:cs="Times New Roman"/>
          <w:b/>
          <w:iCs/>
          <w:sz w:val="24"/>
          <w:szCs w:val="24"/>
        </w:rPr>
        <w:t xml:space="preserve"> </w:t>
      </w:r>
      <w:r w:rsidRPr="00C170F1">
        <w:rPr>
          <w:rFonts w:ascii="Times New Roman" w:eastAsia="Calibri" w:hAnsi="Times New Roman" w:cs="Times New Roman"/>
          <w:bCs/>
          <w:sz w:val="24"/>
          <w:szCs w:val="24"/>
        </w:rPr>
        <w:t xml:space="preserve">Карта с оценка на екологичното състояние/екологичен потенциал на повърхностните водни тела в Западнобеломорски район </w:t>
      </w:r>
    </w:p>
    <w:p w14:paraId="27DBEE56" w14:textId="77777777" w:rsidR="001F086E" w:rsidRDefault="001F086E" w:rsidP="00B14269">
      <w:pPr>
        <w:spacing w:after="0" w:line="276" w:lineRule="auto"/>
        <w:ind w:firstLine="709"/>
        <w:jc w:val="both"/>
        <w:rPr>
          <w:rFonts w:ascii="Times New Roman" w:eastAsia="Calibri" w:hAnsi="Times New Roman" w:cs="Times New Roman"/>
          <w:bCs/>
          <w:sz w:val="24"/>
          <w:szCs w:val="24"/>
        </w:rPr>
      </w:pPr>
    </w:p>
    <w:p w14:paraId="7FCD75F7" w14:textId="01689A53" w:rsidR="001F086E" w:rsidRDefault="001F086E" w:rsidP="00B14269">
      <w:pPr>
        <w:spacing w:after="0" w:line="276" w:lineRule="auto"/>
        <w:ind w:firstLine="709"/>
        <w:jc w:val="both"/>
        <w:rPr>
          <w:rFonts w:ascii="Times New Roman" w:eastAsia="Calibri" w:hAnsi="Times New Roman" w:cs="Times New Roman"/>
          <w:bCs/>
          <w:sz w:val="24"/>
          <w:szCs w:val="24"/>
        </w:rPr>
      </w:pPr>
      <w:r w:rsidRPr="001F086E">
        <w:rPr>
          <w:rFonts w:ascii="Times New Roman" w:eastAsia="Calibri" w:hAnsi="Times New Roman" w:cs="Times New Roman"/>
          <w:bCs/>
          <w:sz w:val="24"/>
          <w:szCs w:val="24"/>
        </w:rPr>
        <w:t xml:space="preserve">От общо 183 повърхностни водни тела в териториалния обхват на Западнобеломорски район, 168 водни тела (92 %) са в добро химично състояние, 15 водни </w:t>
      </w:r>
      <w:r w:rsidRPr="001F086E">
        <w:rPr>
          <w:rFonts w:ascii="Times New Roman" w:eastAsia="Calibri" w:hAnsi="Times New Roman" w:cs="Times New Roman"/>
          <w:bCs/>
          <w:sz w:val="24"/>
          <w:szCs w:val="24"/>
        </w:rPr>
        <w:lastRenderedPageBreak/>
        <w:t xml:space="preserve">тела (8 %) са оценени в недостигащи добро (лошо) химично състояние. Няма нито едно водно тяло, което е в „неизвестно“ химично състояние. </w:t>
      </w:r>
    </w:p>
    <w:p w14:paraId="39774E0E" w14:textId="77777777" w:rsidR="001F086E" w:rsidRDefault="001F086E" w:rsidP="00B14269">
      <w:pPr>
        <w:spacing w:after="0" w:line="276" w:lineRule="auto"/>
        <w:ind w:firstLine="709"/>
        <w:jc w:val="both"/>
        <w:rPr>
          <w:rFonts w:ascii="Times New Roman" w:eastAsia="Calibri" w:hAnsi="Times New Roman" w:cs="Times New Roman"/>
          <w:bCs/>
          <w:sz w:val="24"/>
          <w:szCs w:val="24"/>
        </w:rPr>
      </w:pPr>
    </w:p>
    <w:p w14:paraId="0B9EAB5A" w14:textId="286DF6D0" w:rsidR="001F086E" w:rsidRDefault="001F086E" w:rsidP="001F086E">
      <w:pPr>
        <w:spacing w:after="0" w:line="276" w:lineRule="auto"/>
        <w:jc w:val="both"/>
        <w:rPr>
          <w:rFonts w:ascii="Times New Roman" w:eastAsia="Calibri" w:hAnsi="Times New Roman" w:cs="Times New Roman"/>
          <w:bCs/>
          <w:sz w:val="24"/>
          <w:szCs w:val="24"/>
        </w:rPr>
      </w:pPr>
      <w:r w:rsidRPr="001F086E">
        <w:rPr>
          <w:rFonts w:ascii="Times New Roman" w:eastAsia="Calibri" w:hAnsi="Times New Roman" w:cs="Times New Roman"/>
          <w:bCs/>
          <w:noProof/>
          <w:sz w:val="24"/>
          <w:szCs w:val="24"/>
          <w:lang w:eastAsia="bg-BG"/>
        </w:rPr>
        <w:drawing>
          <wp:inline distT="0" distB="0" distL="0" distR="0" wp14:anchorId="1DA24AC1" wp14:editId="394A8303">
            <wp:extent cx="5943600" cy="4346575"/>
            <wp:effectExtent l="0" t="0" r="0" b="0"/>
            <wp:docPr id="337380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380625" name=""/>
                    <pic:cNvPicPr/>
                  </pic:nvPicPr>
                  <pic:blipFill>
                    <a:blip r:embed="rId16"/>
                    <a:stretch>
                      <a:fillRect/>
                    </a:stretch>
                  </pic:blipFill>
                  <pic:spPr>
                    <a:xfrm>
                      <a:off x="0" y="0"/>
                      <a:ext cx="5943600" cy="4346575"/>
                    </a:xfrm>
                    <a:prstGeom prst="rect">
                      <a:avLst/>
                    </a:prstGeom>
                  </pic:spPr>
                </pic:pic>
              </a:graphicData>
            </a:graphic>
          </wp:inline>
        </w:drawing>
      </w:r>
    </w:p>
    <w:p w14:paraId="3113EAF1" w14:textId="569529F6" w:rsidR="001F086E" w:rsidRPr="00C170F1" w:rsidRDefault="001F086E" w:rsidP="00B14269">
      <w:pPr>
        <w:spacing w:after="0" w:line="276" w:lineRule="auto"/>
        <w:ind w:firstLine="709"/>
        <w:jc w:val="both"/>
        <w:rPr>
          <w:rFonts w:ascii="Times New Roman" w:eastAsia="Calibri" w:hAnsi="Times New Roman" w:cs="Times New Roman"/>
          <w:bCs/>
          <w:sz w:val="24"/>
          <w:szCs w:val="24"/>
        </w:rPr>
      </w:pPr>
      <w:r w:rsidRPr="001F77C5">
        <w:rPr>
          <w:rFonts w:ascii="Times New Roman" w:eastAsia="Calibri" w:hAnsi="Times New Roman" w:cs="Times New Roman"/>
          <w:b/>
          <w:iCs/>
          <w:sz w:val="24"/>
          <w:szCs w:val="24"/>
        </w:rPr>
        <w:t>Фигура 2.1.3-</w:t>
      </w:r>
      <w:r>
        <w:rPr>
          <w:rFonts w:ascii="Times New Roman" w:eastAsia="Calibri" w:hAnsi="Times New Roman" w:cs="Times New Roman"/>
          <w:b/>
          <w:iCs/>
          <w:sz w:val="24"/>
          <w:szCs w:val="24"/>
        </w:rPr>
        <w:t>5</w:t>
      </w:r>
      <w:r w:rsidRPr="001F77C5">
        <w:rPr>
          <w:rFonts w:ascii="Times New Roman" w:eastAsia="Calibri" w:hAnsi="Times New Roman" w:cs="Times New Roman"/>
          <w:b/>
          <w:iCs/>
          <w:sz w:val="24"/>
          <w:szCs w:val="24"/>
        </w:rPr>
        <w:t>.</w:t>
      </w:r>
      <w:r>
        <w:rPr>
          <w:rFonts w:ascii="Times New Roman" w:eastAsia="Calibri" w:hAnsi="Times New Roman" w:cs="Times New Roman"/>
          <w:b/>
          <w:iCs/>
          <w:sz w:val="24"/>
          <w:szCs w:val="24"/>
        </w:rPr>
        <w:t xml:space="preserve"> </w:t>
      </w:r>
      <w:r w:rsidRPr="001F086E">
        <w:rPr>
          <w:rFonts w:ascii="Times New Roman" w:eastAsia="Calibri" w:hAnsi="Times New Roman" w:cs="Times New Roman"/>
          <w:bCs/>
          <w:sz w:val="24"/>
          <w:szCs w:val="24"/>
        </w:rPr>
        <w:t>Химично състояние на повърхностните водни тела в Западнобеломорски район</w:t>
      </w:r>
    </w:p>
    <w:p w14:paraId="50A887C9" w14:textId="77777777" w:rsidR="00D557F0" w:rsidRDefault="00D557F0" w:rsidP="00B14269">
      <w:pPr>
        <w:spacing w:after="0" w:line="276" w:lineRule="auto"/>
        <w:ind w:firstLine="709"/>
        <w:jc w:val="both"/>
        <w:rPr>
          <w:rFonts w:ascii="Times New Roman" w:eastAsia="Calibri" w:hAnsi="Times New Roman" w:cs="Times New Roman"/>
          <w:bCs/>
          <w:i/>
          <w:iCs/>
          <w:sz w:val="24"/>
          <w:szCs w:val="24"/>
        </w:rPr>
      </w:pPr>
    </w:p>
    <w:p w14:paraId="6E20856B" w14:textId="5E1C61D5" w:rsidR="00BA18EC" w:rsidRPr="00BA18EC" w:rsidRDefault="00BA18EC" w:rsidP="00BA18EC">
      <w:pPr>
        <w:spacing w:after="0" w:line="276" w:lineRule="auto"/>
        <w:ind w:firstLine="709"/>
        <w:jc w:val="both"/>
        <w:rPr>
          <w:rFonts w:ascii="Times New Roman" w:eastAsia="Calibri" w:hAnsi="Times New Roman" w:cs="Times New Roman"/>
          <w:b/>
          <w:i/>
          <w:iCs/>
          <w:sz w:val="24"/>
          <w:szCs w:val="24"/>
        </w:rPr>
      </w:pPr>
      <w:r w:rsidRPr="00BA18EC">
        <w:rPr>
          <w:rFonts w:ascii="Times New Roman" w:eastAsia="Calibri" w:hAnsi="Times New Roman" w:cs="Times New Roman"/>
          <w:b/>
          <w:i/>
          <w:iCs/>
          <w:sz w:val="24"/>
          <w:szCs w:val="24"/>
        </w:rPr>
        <w:t>Източнобеломорски район</w:t>
      </w:r>
    </w:p>
    <w:p w14:paraId="70AB3C19" w14:textId="0422E628" w:rsidR="00BA18EC" w:rsidRDefault="00087391" w:rsidP="00BA18EC">
      <w:pPr>
        <w:spacing w:after="0" w:line="276"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В</w:t>
      </w:r>
      <w:r w:rsidRPr="00087391">
        <w:rPr>
          <w:rFonts w:ascii="Times New Roman" w:eastAsia="Calibri" w:hAnsi="Times New Roman" w:cs="Times New Roman"/>
          <w:bCs/>
          <w:sz w:val="24"/>
          <w:szCs w:val="24"/>
        </w:rPr>
        <w:t xml:space="preserve"> ПУРБ </w:t>
      </w:r>
      <w:r>
        <w:rPr>
          <w:rFonts w:ascii="Times New Roman" w:eastAsia="Calibri" w:hAnsi="Times New Roman" w:cs="Times New Roman"/>
          <w:bCs/>
          <w:sz w:val="24"/>
          <w:szCs w:val="24"/>
        </w:rPr>
        <w:t xml:space="preserve">2022-2027 г. </w:t>
      </w:r>
      <w:r w:rsidRPr="00087391">
        <w:rPr>
          <w:rFonts w:ascii="Times New Roman" w:eastAsia="Calibri" w:hAnsi="Times New Roman" w:cs="Times New Roman"/>
          <w:bCs/>
          <w:sz w:val="24"/>
          <w:szCs w:val="24"/>
        </w:rPr>
        <w:t>не са идентифицирани водни тела в отлично екологично състояние.</w:t>
      </w:r>
      <w:r w:rsidRPr="00087391">
        <w:t xml:space="preserve"> </w:t>
      </w:r>
      <w:r w:rsidRPr="00087391">
        <w:rPr>
          <w:rFonts w:ascii="Times New Roman" w:eastAsia="Calibri" w:hAnsi="Times New Roman" w:cs="Times New Roman"/>
          <w:bCs/>
          <w:sz w:val="24"/>
          <w:szCs w:val="24"/>
        </w:rPr>
        <w:t>Броят на водните тела в добро екологично състояние</w:t>
      </w:r>
      <w:r>
        <w:rPr>
          <w:rFonts w:ascii="Times New Roman" w:eastAsia="Calibri" w:hAnsi="Times New Roman" w:cs="Times New Roman"/>
          <w:bCs/>
          <w:sz w:val="24"/>
          <w:szCs w:val="24"/>
        </w:rPr>
        <w:t xml:space="preserve"> е </w:t>
      </w:r>
      <w:r w:rsidRPr="00087391">
        <w:rPr>
          <w:rFonts w:ascii="Times New Roman" w:eastAsia="Calibri" w:hAnsi="Times New Roman" w:cs="Times New Roman"/>
          <w:bCs/>
          <w:sz w:val="24"/>
          <w:szCs w:val="24"/>
        </w:rPr>
        <w:t>намаля</w:t>
      </w:r>
      <w:r>
        <w:rPr>
          <w:rFonts w:ascii="Times New Roman" w:eastAsia="Calibri" w:hAnsi="Times New Roman" w:cs="Times New Roman"/>
          <w:bCs/>
          <w:sz w:val="24"/>
          <w:szCs w:val="24"/>
        </w:rPr>
        <w:t>л</w:t>
      </w:r>
      <w:r w:rsidRPr="00087391">
        <w:rPr>
          <w:rFonts w:ascii="Times New Roman" w:eastAsia="Calibri" w:hAnsi="Times New Roman" w:cs="Times New Roman"/>
          <w:bCs/>
          <w:sz w:val="24"/>
          <w:szCs w:val="24"/>
        </w:rPr>
        <w:t xml:space="preserve"> от 105 ВТ в </w:t>
      </w:r>
      <w:r>
        <w:rPr>
          <w:rFonts w:ascii="Times New Roman" w:eastAsia="Calibri" w:hAnsi="Times New Roman" w:cs="Times New Roman"/>
          <w:bCs/>
          <w:sz w:val="24"/>
          <w:szCs w:val="24"/>
        </w:rPr>
        <w:t xml:space="preserve">предходния </w:t>
      </w:r>
      <w:r w:rsidRPr="00087391">
        <w:rPr>
          <w:rFonts w:ascii="Times New Roman" w:eastAsia="Calibri" w:hAnsi="Times New Roman" w:cs="Times New Roman"/>
          <w:bCs/>
          <w:sz w:val="24"/>
          <w:szCs w:val="24"/>
        </w:rPr>
        <w:t xml:space="preserve">ПУРБ до 88 ВТ в </w:t>
      </w:r>
      <w:r>
        <w:rPr>
          <w:rFonts w:ascii="Times New Roman" w:eastAsia="Calibri" w:hAnsi="Times New Roman" w:cs="Times New Roman"/>
          <w:bCs/>
          <w:sz w:val="24"/>
          <w:szCs w:val="24"/>
        </w:rPr>
        <w:t>сегашния</w:t>
      </w:r>
      <w:r w:rsidRPr="00087391">
        <w:rPr>
          <w:rFonts w:ascii="Times New Roman" w:eastAsia="Calibri" w:hAnsi="Times New Roman" w:cs="Times New Roman"/>
          <w:bCs/>
          <w:sz w:val="24"/>
          <w:szCs w:val="24"/>
        </w:rPr>
        <w:t>.</w:t>
      </w:r>
      <w:r w:rsidR="00A83219" w:rsidRPr="00A83219">
        <w:t xml:space="preserve"> </w:t>
      </w:r>
      <w:r w:rsidR="00A83219" w:rsidRPr="00A83219">
        <w:rPr>
          <w:rFonts w:ascii="Times New Roman" w:eastAsia="Calibri" w:hAnsi="Times New Roman" w:cs="Times New Roman"/>
          <w:bCs/>
          <w:sz w:val="24"/>
          <w:szCs w:val="24"/>
        </w:rPr>
        <w:t>При 171 повърхностните водни тела (130 реки и 41 езера) не се наблюдава промяна в екологичното състояние/потенциал.</w:t>
      </w:r>
    </w:p>
    <w:p w14:paraId="5F856420" w14:textId="77777777" w:rsidR="002D3266" w:rsidRPr="002D3266" w:rsidRDefault="002D3266" w:rsidP="002D3266">
      <w:pPr>
        <w:spacing w:after="0" w:line="276" w:lineRule="auto"/>
        <w:ind w:firstLine="709"/>
        <w:jc w:val="both"/>
        <w:rPr>
          <w:rFonts w:ascii="Times New Roman" w:eastAsia="Calibri" w:hAnsi="Times New Roman" w:cs="Times New Roman"/>
          <w:bCs/>
          <w:sz w:val="24"/>
          <w:szCs w:val="24"/>
        </w:rPr>
      </w:pPr>
      <w:r w:rsidRPr="002D3266">
        <w:rPr>
          <w:rFonts w:ascii="Times New Roman" w:eastAsia="Calibri" w:hAnsi="Times New Roman" w:cs="Times New Roman"/>
          <w:bCs/>
          <w:sz w:val="24"/>
          <w:szCs w:val="24"/>
        </w:rPr>
        <w:t>При оценката на химичното състояние на повърхностните водни тела с включени повсеместно разпространени вещества 152 ВТ (49 %) са в добро химично състояние, 72 ВТ (23 %) в непостигащо добро състояние и 87 (28 %) водни тела в неизвестно химично състояние.</w:t>
      </w:r>
    </w:p>
    <w:p w14:paraId="45F51684" w14:textId="5D2AFF8E" w:rsidR="002D3266" w:rsidRDefault="002D3266" w:rsidP="002D3266">
      <w:pPr>
        <w:spacing w:after="0" w:line="276" w:lineRule="auto"/>
        <w:ind w:firstLine="709"/>
        <w:jc w:val="both"/>
        <w:rPr>
          <w:rFonts w:ascii="Times New Roman" w:eastAsia="Calibri" w:hAnsi="Times New Roman" w:cs="Times New Roman"/>
          <w:bCs/>
          <w:sz w:val="24"/>
          <w:szCs w:val="24"/>
        </w:rPr>
      </w:pPr>
      <w:r w:rsidRPr="002D3266">
        <w:rPr>
          <w:rFonts w:ascii="Times New Roman" w:eastAsia="Calibri" w:hAnsi="Times New Roman" w:cs="Times New Roman"/>
          <w:bCs/>
          <w:sz w:val="24"/>
          <w:szCs w:val="24"/>
        </w:rPr>
        <w:t xml:space="preserve">При оценката на химичното състояние на повърхностните водни тела с изключениповсеместно разпространени вещества 198 ВТ (64 %) са в добро химично </w:t>
      </w:r>
      <w:r w:rsidRPr="002D3266">
        <w:rPr>
          <w:rFonts w:ascii="Times New Roman" w:eastAsia="Calibri" w:hAnsi="Times New Roman" w:cs="Times New Roman"/>
          <w:bCs/>
          <w:sz w:val="24"/>
          <w:szCs w:val="24"/>
        </w:rPr>
        <w:lastRenderedPageBreak/>
        <w:t xml:space="preserve">състояние, </w:t>
      </w:r>
      <w:r>
        <w:rPr>
          <w:rFonts w:ascii="Times New Roman" w:eastAsia="Calibri" w:hAnsi="Times New Roman" w:cs="Times New Roman"/>
          <w:bCs/>
          <w:sz w:val="24"/>
          <w:szCs w:val="24"/>
        </w:rPr>
        <w:t xml:space="preserve"> </w:t>
      </w:r>
      <w:r w:rsidRPr="002D3266">
        <w:rPr>
          <w:rFonts w:ascii="Times New Roman" w:eastAsia="Calibri" w:hAnsi="Times New Roman" w:cs="Times New Roman"/>
          <w:bCs/>
          <w:sz w:val="24"/>
          <w:szCs w:val="24"/>
        </w:rPr>
        <w:t>51 ВТ (16 %) в непостигащо добро състояние и 62 (20 %) водни тела в неизвестно химично състояние.</w:t>
      </w:r>
    </w:p>
    <w:p w14:paraId="79320BB6" w14:textId="43DADC28" w:rsidR="00EC3A58" w:rsidRDefault="00EC3A58" w:rsidP="002D3266">
      <w:pPr>
        <w:spacing w:after="0" w:line="276" w:lineRule="auto"/>
        <w:ind w:firstLine="709"/>
        <w:jc w:val="both"/>
        <w:rPr>
          <w:rFonts w:ascii="Times New Roman" w:eastAsia="Calibri" w:hAnsi="Times New Roman" w:cs="Times New Roman"/>
          <w:bCs/>
          <w:sz w:val="24"/>
          <w:szCs w:val="24"/>
        </w:rPr>
      </w:pPr>
      <w:r w:rsidRPr="00EC3A58">
        <w:rPr>
          <w:rFonts w:ascii="Times New Roman" w:eastAsia="Calibri" w:hAnsi="Times New Roman" w:cs="Times New Roman"/>
          <w:bCs/>
          <w:sz w:val="24"/>
          <w:szCs w:val="24"/>
        </w:rPr>
        <w:t>При 21 водни тела в лошо химично състояние, оценката лошо химично състояние се дължи основно на отклонения от СКОС на повсеместно разпространените вещества.</w:t>
      </w:r>
    </w:p>
    <w:p w14:paraId="17DB52C8" w14:textId="77777777" w:rsidR="00482099" w:rsidRDefault="00482099" w:rsidP="002D3266">
      <w:pPr>
        <w:spacing w:after="0" w:line="276" w:lineRule="auto"/>
        <w:ind w:firstLine="709"/>
        <w:jc w:val="both"/>
        <w:rPr>
          <w:rFonts w:ascii="Times New Roman" w:eastAsia="Calibri" w:hAnsi="Times New Roman" w:cs="Times New Roman"/>
          <w:bCs/>
          <w:sz w:val="24"/>
          <w:szCs w:val="24"/>
        </w:rPr>
      </w:pPr>
    </w:p>
    <w:p w14:paraId="25A3B355" w14:textId="14617AA0" w:rsidR="00482099" w:rsidRPr="00482099" w:rsidRDefault="00482099" w:rsidP="002D3266">
      <w:pPr>
        <w:spacing w:after="0" w:line="276" w:lineRule="auto"/>
        <w:ind w:firstLine="709"/>
        <w:jc w:val="both"/>
        <w:rPr>
          <w:rFonts w:ascii="Times New Roman" w:eastAsia="Calibri" w:hAnsi="Times New Roman" w:cs="Times New Roman"/>
          <w:b/>
          <w:i/>
          <w:iCs/>
          <w:sz w:val="24"/>
          <w:szCs w:val="24"/>
        </w:rPr>
      </w:pPr>
      <w:r w:rsidRPr="00482099">
        <w:rPr>
          <w:rFonts w:ascii="Times New Roman" w:eastAsia="Calibri" w:hAnsi="Times New Roman" w:cs="Times New Roman"/>
          <w:b/>
          <w:i/>
          <w:iCs/>
          <w:sz w:val="24"/>
          <w:szCs w:val="24"/>
        </w:rPr>
        <w:t>Черноморски район</w:t>
      </w:r>
    </w:p>
    <w:p w14:paraId="2915F15F" w14:textId="67232189" w:rsidR="006C0A26" w:rsidRPr="006C0A26" w:rsidRDefault="006C0A26" w:rsidP="006C0A26">
      <w:pPr>
        <w:spacing w:after="0" w:line="276"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Съгласно текущия ПУРБ, </w:t>
      </w:r>
      <w:r w:rsidRPr="006C0A26">
        <w:rPr>
          <w:rFonts w:ascii="Times New Roman" w:eastAsia="Calibri" w:hAnsi="Times New Roman" w:cs="Times New Roman"/>
          <w:bCs/>
          <w:sz w:val="24"/>
          <w:szCs w:val="24"/>
        </w:rPr>
        <w:t xml:space="preserve">94 водни тела (74 речни, 5 езерни, 6 преходни и 9 крайбрежни водни тела) запазват екологично си състояние/потенциал, </w:t>
      </w:r>
      <w:r>
        <w:rPr>
          <w:rFonts w:ascii="Times New Roman" w:eastAsia="Calibri" w:hAnsi="Times New Roman" w:cs="Times New Roman"/>
          <w:bCs/>
          <w:sz w:val="24"/>
          <w:szCs w:val="24"/>
        </w:rPr>
        <w:t>спрямо предходния</w:t>
      </w:r>
      <w:r w:rsidRPr="006C0A26">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w:t>
      </w:r>
      <w:r w:rsidRPr="006C0A26">
        <w:rPr>
          <w:rFonts w:ascii="Times New Roman" w:eastAsia="Calibri" w:hAnsi="Times New Roman" w:cs="Times New Roman"/>
          <w:bCs/>
          <w:sz w:val="24"/>
          <w:szCs w:val="24"/>
        </w:rPr>
        <w:t>46 водни тела подобряват състоянието си (22 речни, 6 езерни, 10 преходни и 8 крайбрежни водни тела) и 65 водни тела влошават състоянието си (47 речни, 6 езерни и 12 преходни водни тела). От крайбрежните водни тела, екологичното състояние само на едно (BG2BS000C005 „Варненски залив“) е оценено като лошо.</w:t>
      </w:r>
    </w:p>
    <w:p w14:paraId="0A658C25" w14:textId="49D980BC" w:rsidR="00BA18EC" w:rsidRDefault="006C0A26" w:rsidP="006C0A26">
      <w:pPr>
        <w:spacing w:after="0" w:line="276" w:lineRule="auto"/>
        <w:ind w:firstLine="709"/>
        <w:jc w:val="both"/>
        <w:rPr>
          <w:rFonts w:ascii="Times New Roman" w:eastAsia="Calibri" w:hAnsi="Times New Roman" w:cs="Times New Roman"/>
          <w:bCs/>
          <w:sz w:val="24"/>
          <w:szCs w:val="24"/>
        </w:rPr>
      </w:pPr>
      <w:r w:rsidRPr="006C0A26">
        <w:rPr>
          <w:rFonts w:ascii="Times New Roman" w:eastAsia="Calibri" w:hAnsi="Times New Roman" w:cs="Times New Roman"/>
          <w:bCs/>
          <w:sz w:val="24"/>
          <w:szCs w:val="24"/>
        </w:rPr>
        <w:t>По отношение на ИВТ и СМВТ, се отчита, че 18 водни тела от тях запазват екологичното си състояние/екологичен потенциал, 20 водни тела го подобряват, а при 11 водни тела се наблюдава влошаване, спрямо оценката в предходния ПУРБ.</w:t>
      </w:r>
    </w:p>
    <w:p w14:paraId="0C217311" w14:textId="77777777" w:rsidR="006C0A26" w:rsidRDefault="006C0A26" w:rsidP="006C0A26">
      <w:pPr>
        <w:spacing w:after="0" w:line="276" w:lineRule="auto"/>
        <w:ind w:firstLine="709"/>
        <w:jc w:val="both"/>
        <w:rPr>
          <w:rFonts w:ascii="Times New Roman" w:eastAsia="Calibri" w:hAnsi="Times New Roman" w:cs="Times New Roman"/>
          <w:bCs/>
          <w:sz w:val="24"/>
          <w:szCs w:val="24"/>
        </w:rPr>
      </w:pPr>
    </w:p>
    <w:p w14:paraId="37DAEA5A" w14:textId="2BD7C7E0" w:rsidR="006C0A26" w:rsidRPr="006C0A26" w:rsidRDefault="006C0A26" w:rsidP="006C0A26">
      <w:pPr>
        <w:spacing w:after="0" w:line="276" w:lineRule="auto"/>
        <w:ind w:firstLine="1134"/>
        <w:jc w:val="both"/>
        <w:rPr>
          <w:rFonts w:ascii="Times New Roman" w:eastAsia="Calibri" w:hAnsi="Times New Roman" w:cs="Times New Roman"/>
          <w:bCs/>
          <w:sz w:val="24"/>
          <w:szCs w:val="24"/>
        </w:rPr>
      </w:pPr>
      <w:r w:rsidRPr="006C0A26">
        <w:rPr>
          <w:rFonts w:ascii="Times New Roman" w:eastAsia="Calibri" w:hAnsi="Times New Roman" w:cs="Times New Roman"/>
          <w:bCs/>
          <w:noProof/>
          <w:sz w:val="24"/>
          <w:szCs w:val="24"/>
          <w:lang w:eastAsia="bg-BG"/>
        </w:rPr>
        <w:drawing>
          <wp:inline distT="0" distB="0" distL="0" distR="0" wp14:anchorId="101BA668" wp14:editId="0FCBA8F1">
            <wp:extent cx="4686706" cy="1310754"/>
            <wp:effectExtent l="0" t="0" r="0" b="3810"/>
            <wp:docPr id="660668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668524" name=""/>
                    <pic:cNvPicPr/>
                  </pic:nvPicPr>
                  <pic:blipFill>
                    <a:blip r:embed="rId17"/>
                    <a:stretch>
                      <a:fillRect/>
                    </a:stretch>
                  </pic:blipFill>
                  <pic:spPr>
                    <a:xfrm>
                      <a:off x="0" y="0"/>
                      <a:ext cx="4686706" cy="1310754"/>
                    </a:xfrm>
                    <a:prstGeom prst="rect">
                      <a:avLst/>
                    </a:prstGeom>
                  </pic:spPr>
                </pic:pic>
              </a:graphicData>
            </a:graphic>
          </wp:inline>
        </w:drawing>
      </w:r>
    </w:p>
    <w:p w14:paraId="3EA51DD1" w14:textId="77718CDB" w:rsidR="00BA18EC" w:rsidRDefault="006C0A26" w:rsidP="00B14269">
      <w:pPr>
        <w:spacing w:after="0" w:line="276" w:lineRule="auto"/>
        <w:ind w:firstLine="709"/>
        <w:jc w:val="both"/>
        <w:rPr>
          <w:rFonts w:ascii="Times New Roman" w:eastAsia="Calibri" w:hAnsi="Times New Roman" w:cs="Times New Roman"/>
          <w:bCs/>
          <w:iCs/>
          <w:sz w:val="24"/>
          <w:szCs w:val="24"/>
        </w:rPr>
      </w:pPr>
      <w:r>
        <w:rPr>
          <w:rFonts w:ascii="Times New Roman" w:eastAsia="Calibri" w:hAnsi="Times New Roman" w:cs="Times New Roman"/>
          <w:b/>
          <w:iCs/>
          <w:sz w:val="24"/>
          <w:szCs w:val="24"/>
        </w:rPr>
        <w:t>Таблица</w:t>
      </w:r>
      <w:r w:rsidRPr="001F77C5">
        <w:rPr>
          <w:rFonts w:ascii="Times New Roman" w:eastAsia="Calibri" w:hAnsi="Times New Roman" w:cs="Times New Roman"/>
          <w:b/>
          <w:iCs/>
          <w:sz w:val="24"/>
          <w:szCs w:val="24"/>
        </w:rPr>
        <w:t xml:space="preserve"> 2.1.3-</w:t>
      </w:r>
      <w:r>
        <w:rPr>
          <w:rFonts w:ascii="Times New Roman" w:eastAsia="Calibri" w:hAnsi="Times New Roman" w:cs="Times New Roman"/>
          <w:b/>
          <w:iCs/>
          <w:sz w:val="24"/>
          <w:szCs w:val="24"/>
        </w:rPr>
        <w:t>1</w:t>
      </w:r>
      <w:r w:rsidRPr="001F77C5">
        <w:rPr>
          <w:rFonts w:ascii="Times New Roman" w:eastAsia="Calibri" w:hAnsi="Times New Roman" w:cs="Times New Roman"/>
          <w:b/>
          <w:iCs/>
          <w:sz w:val="24"/>
          <w:szCs w:val="24"/>
        </w:rPr>
        <w:t>.</w:t>
      </w:r>
      <w:r w:rsidRPr="006C0A26">
        <w:t xml:space="preserve"> </w:t>
      </w:r>
      <w:r w:rsidRPr="006C0A26">
        <w:rPr>
          <w:rFonts w:ascii="Times New Roman" w:eastAsia="Calibri" w:hAnsi="Times New Roman" w:cs="Times New Roman"/>
          <w:bCs/>
          <w:iCs/>
          <w:sz w:val="24"/>
          <w:szCs w:val="24"/>
        </w:rPr>
        <w:t>Оценка на екологичното състояние и екологичния потенциал на повърхностните водни тела в ПУРБ 2022-2027</w:t>
      </w:r>
    </w:p>
    <w:p w14:paraId="59ADF445" w14:textId="77777777" w:rsidR="006C0A26" w:rsidRDefault="006C0A26" w:rsidP="00B14269">
      <w:pPr>
        <w:spacing w:after="0" w:line="276" w:lineRule="auto"/>
        <w:ind w:firstLine="709"/>
        <w:jc w:val="both"/>
        <w:rPr>
          <w:rFonts w:ascii="Times New Roman" w:eastAsia="Calibri" w:hAnsi="Times New Roman" w:cs="Times New Roman"/>
          <w:bCs/>
          <w:iCs/>
          <w:sz w:val="24"/>
          <w:szCs w:val="24"/>
        </w:rPr>
      </w:pPr>
    </w:p>
    <w:p w14:paraId="49B91452" w14:textId="2193CB69" w:rsidR="006C0A26" w:rsidRDefault="006C0A26" w:rsidP="00B14269">
      <w:pPr>
        <w:spacing w:after="0" w:line="276" w:lineRule="auto"/>
        <w:ind w:firstLine="709"/>
        <w:jc w:val="both"/>
        <w:rPr>
          <w:rFonts w:ascii="Times New Roman" w:eastAsia="Calibri" w:hAnsi="Times New Roman" w:cs="Times New Roman"/>
          <w:bCs/>
          <w:iCs/>
          <w:sz w:val="24"/>
          <w:szCs w:val="24"/>
        </w:rPr>
      </w:pPr>
      <w:r w:rsidRPr="006C0A26">
        <w:rPr>
          <w:rFonts w:ascii="Times New Roman" w:eastAsia="Calibri" w:hAnsi="Times New Roman" w:cs="Times New Roman"/>
          <w:bCs/>
          <w:iCs/>
          <w:sz w:val="24"/>
          <w:szCs w:val="24"/>
        </w:rPr>
        <w:t>Сравнението между оценките на химичното състояние с включени и изключени uPBTs показва незначителна разлика по отношение на броя на телата в неизвестно състояние и значителна такава в броя на телата в добро и непостигащи добро състояние. Сред веществата, които са uPBT, са живакът, полибромираните дифенилетери, трибутилкалаените съединения и перфлуороктансулфоновата киселина и нейните производни. Те са широко разпространени, като е възможно да се пренасят и от атмосферата на дълги разстояния и се отлагат от нея в почвите и водите. Постигането на добро състояние, с вързани с тях е затруднено,</w:t>
      </w:r>
    </w:p>
    <w:p w14:paraId="499AAE31" w14:textId="0C709543" w:rsidR="006C0A26" w:rsidRPr="006C0A26" w:rsidRDefault="006C0A26" w:rsidP="006C0A26">
      <w:pPr>
        <w:spacing w:after="0" w:line="276" w:lineRule="auto"/>
        <w:ind w:firstLine="709"/>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Към текущия момент се о</w:t>
      </w:r>
      <w:r w:rsidRPr="006C0A26">
        <w:rPr>
          <w:rFonts w:ascii="Times New Roman" w:eastAsia="Calibri" w:hAnsi="Times New Roman" w:cs="Times New Roman"/>
          <w:bCs/>
          <w:iCs/>
          <w:sz w:val="24"/>
          <w:szCs w:val="24"/>
        </w:rPr>
        <w:t xml:space="preserve">тчита положителна тенденция, свързана с намаляване броя на водните тела в неизвестно състояние и увеличаване броя на телата в добро състояние спрямо ПУРБ 2016-2021 г. Наблюдава се и увеличение на броя на водните тела в непостигащи добро състояние, което е в резултата на по-големия брой изследвани водни тела, а не толкова на реално влошаване на състоянието. Сравняването на данните за химичното състояние между </w:t>
      </w:r>
      <w:r>
        <w:rPr>
          <w:rFonts w:ascii="Times New Roman" w:eastAsia="Calibri" w:hAnsi="Times New Roman" w:cs="Times New Roman"/>
          <w:bCs/>
          <w:iCs/>
          <w:sz w:val="24"/>
          <w:szCs w:val="24"/>
        </w:rPr>
        <w:t xml:space="preserve">предходния и настоящия </w:t>
      </w:r>
      <w:r w:rsidRPr="006C0A26">
        <w:rPr>
          <w:rFonts w:ascii="Times New Roman" w:eastAsia="Calibri" w:hAnsi="Times New Roman" w:cs="Times New Roman"/>
          <w:bCs/>
          <w:iCs/>
          <w:sz w:val="24"/>
          <w:szCs w:val="24"/>
        </w:rPr>
        <w:t>ПУРБ показват:</w:t>
      </w:r>
    </w:p>
    <w:p w14:paraId="1EFDDA9A" w14:textId="4E1979C6" w:rsidR="006C0A26" w:rsidRDefault="006C0A26" w:rsidP="006C0A26">
      <w:pPr>
        <w:spacing w:after="0" w:line="276" w:lineRule="auto"/>
        <w:ind w:firstLine="709"/>
        <w:jc w:val="both"/>
        <w:rPr>
          <w:rFonts w:ascii="Times New Roman" w:eastAsia="Calibri" w:hAnsi="Times New Roman" w:cs="Times New Roman"/>
          <w:bCs/>
          <w:iCs/>
          <w:sz w:val="24"/>
          <w:szCs w:val="24"/>
        </w:rPr>
      </w:pPr>
      <w:r w:rsidRPr="006C0A26">
        <w:rPr>
          <w:rFonts w:ascii="Times New Roman" w:eastAsia="Calibri" w:hAnsi="Times New Roman" w:cs="Times New Roman"/>
          <w:bCs/>
          <w:iCs/>
          <w:sz w:val="24"/>
          <w:szCs w:val="24"/>
        </w:rPr>
        <w:lastRenderedPageBreak/>
        <w:t>• 38 водни тела (30 речни, 1 езерно, 2 преходни и 5 крайбрежни водни тела) запазват химичното състояние. От тях 31 запазват добро химично състояние (28 речни, 1 езерно и 2 крайбрежни водни тела), а 7 запазват установеното непостигащо добро състояние (2 речни, 2 преходни 3 крайбрежни водни тела);</w:t>
      </w:r>
    </w:p>
    <w:p w14:paraId="374D5698" w14:textId="3EDD92A9" w:rsidR="006C0A26" w:rsidRPr="006C0A26" w:rsidRDefault="006C0A26" w:rsidP="006C0A26">
      <w:pPr>
        <w:spacing w:after="0" w:line="276" w:lineRule="auto"/>
        <w:ind w:firstLine="709"/>
        <w:jc w:val="both"/>
        <w:rPr>
          <w:rFonts w:ascii="Times New Roman" w:eastAsia="Calibri" w:hAnsi="Times New Roman" w:cs="Times New Roman"/>
          <w:bCs/>
          <w:iCs/>
          <w:sz w:val="24"/>
          <w:szCs w:val="24"/>
        </w:rPr>
      </w:pPr>
      <w:r w:rsidRPr="006C0A26">
        <w:rPr>
          <w:rFonts w:ascii="Times New Roman" w:eastAsia="Calibri" w:hAnsi="Times New Roman" w:cs="Times New Roman"/>
          <w:bCs/>
          <w:iCs/>
          <w:sz w:val="24"/>
          <w:szCs w:val="24"/>
        </w:rPr>
        <w:t>• 2 водни тела от категория „реки“ подобряват състоянието си;</w:t>
      </w:r>
    </w:p>
    <w:p w14:paraId="2CFFD29F" w14:textId="77777777" w:rsidR="006C0A26" w:rsidRPr="006C0A26" w:rsidRDefault="006C0A26" w:rsidP="006C0A26">
      <w:pPr>
        <w:spacing w:after="0" w:line="276" w:lineRule="auto"/>
        <w:ind w:firstLine="709"/>
        <w:jc w:val="both"/>
        <w:rPr>
          <w:rFonts w:ascii="Times New Roman" w:eastAsia="Calibri" w:hAnsi="Times New Roman" w:cs="Times New Roman"/>
          <w:bCs/>
          <w:iCs/>
          <w:sz w:val="24"/>
          <w:szCs w:val="24"/>
        </w:rPr>
      </w:pPr>
      <w:r w:rsidRPr="006C0A26">
        <w:rPr>
          <w:rFonts w:ascii="Times New Roman" w:eastAsia="Calibri" w:hAnsi="Times New Roman" w:cs="Times New Roman"/>
          <w:bCs/>
          <w:iCs/>
          <w:sz w:val="24"/>
          <w:szCs w:val="24"/>
        </w:rPr>
        <w:t>• 8 водни тела влошават състоянието си (7 речни и 1 крайбрежно водни тела);</w:t>
      </w:r>
    </w:p>
    <w:p w14:paraId="6D3FE996" w14:textId="77777777" w:rsidR="006C0A26" w:rsidRPr="006C0A26" w:rsidRDefault="006C0A26" w:rsidP="006C0A26">
      <w:pPr>
        <w:spacing w:after="0" w:line="276" w:lineRule="auto"/>
        <w:ind w:firstLine="709"/>
        <w:jc w:val="both"/>
        <w:rPr>
          <w:rFonts w:ascii="Times New Roman" w:eastAsia="Calibri" w:hAnsi="Times New Roman" w:cs="Times New Roman"/>
          <w:bCs/>
          <w:iCs/>
          <w:sz w:val="24"/>
          <w:szCs w:val="24"/>
        </w:rPr>
      </w:pPr>
      <w:r w:rsidRPr="006C0A26">
        <w:rPr>
          <w:rFonts w:ascii="Times New Roman" w:eastAsia="Calibri" w:hAnsi="Times New Roman" w:cs="Times New Roman"/>
          <w:bCs/>
          <w:iCs/>
          <w:sz w:val="24"/>
          <w:szCs w:val="24"/>
        </w:rPr>
        <w:t>• 139 водни тела в неизвестно състояние вече са оценени, като 97 тела са в добро състояние, а 42 тела са в непостигащо добро състояние;</w:t>
      </w:r>
    </w:p>
    <w:p w14:paraId="5E533B93" w14:textId="47F118CD" w:rsidR="006C0A26" w:rsidRPr="006C0A26" w:rsidRDefault="006C0A26" w:rsidP="006C0A26">
      <w:pPr>
        <w:spacing w:after="0" w:line="276" w:lineRule="auto"/>
        <w:ind w:firstLine="709"/>
        <w:jc w:val="both"/>
        <w:rPr>
          <w:rFonts w:ascii="Times New Roman" w:eastAsia="Calibri" w:hAnsi="Times New Roman" w:cs="Times New Roman"/>
          <w:bCs/>
          <w:iCs/>
          <w:sz w:val="24"/>
          <w:szCs w:val="24"/>
        </w:rPr>
      </w:pPr>
      <w:r w:rsidRPr="006C0A26">
        <w:rPr>
          <w:rFonts w:ascii="Times New Roman" w:eastAsia="Calibri" w:hAnsi="Times New Roman" w:cs="Times New Roman"/>
          <w:bCs/>
          <w:iCs/>
          <w:sz w:val="24"/>
          <w:szCs w:val="24"/>
        </w:rPr>
        <w:t>• 24 водни тела остават в неизвестно състояние.</w:t>
      </w:r>
    </w:p>
    <w:p w14:paraId="4F0D2307" w14:textId="77777777" w:rsidR="006C0A26" w:rsidRPr="00B14269" w:rsidRDefault="006C0A26" w:rsidP="00B14269">
      <w:pPr>
        <w:spacing w:after="0" w:line="276" w:lineRule="auto"/>
        <w:ind w:firstLine="709"/>
        <w:jc w:val="both"/>
        <w:rPr>
          <w:rFonts w:ascii="Times New Roman" w:eastAsia="Calibri" w:hAnsi="Times New Roman" w:cs="Times New Roman"/>
          <w:bCs/>
          <w:i/>
          <w:iCs/>
          <w:sz w:val="24"/>
          <w:szCs w:val="24"/>
        </w:rPr>
      </w:pPr>
    </w:p>
    <w:p w14:paraId="138BCF97" w14:textId="7E345528" w:rsidR="00A63945" w:rsidRPr="003E0E43" w:rsidRDefault="00A63945" w:rsidP="00A63945">
      <w:pPr>
        <w:spacing w:after="0" w:line="276" w:lineRule="auto"/>
        <w:ind w:firstLine="709"/>
        <w:jc w:val="both"/>
        <w:rPr>
          <w:rFonts w:ascii="Times New Roman" w:eastAsia="Calibri" w:hAnsi="Times New Roman" w:cs="Times New Roman"/>
          <w:i/>
          <w:sz w:val="24"/>
          <w:szCs w:val="24"/>
        </w:rPr>
      </w:pPr>
      <w:r w:rsidRPr="003E0E43">
        <w:rPr>
          <w:rFonts w:ascii="Times New Roman" w:eastAsia="Calibri" w:hAnsi="Times New Roman" w:cs="Times New Roman"/>
          <w:i/>
          <w:iCs/>
          <w:sz w:val="24"/>
          <w:szCs w:val="24"/>
        </w:rPr>
        <w:t xml:space="preserve">Предвид, че </w:t>
      </w:r>
      <w:r w:rsidR="00D94156" w:rsidRPr="003E0E43">
        <w:rPr>
          <w:rFonts w:ascii="Times New Roman" w:eastAsia="Calibri" w:hAnsi="Times New Roman" w:cs="Times New Roman"/>
          <w:i/>
          <w:iCs/>
          <w:sz w:val="24"/>
          <w:szCs w:val="24"/>
        </w:rPr>
        <w:t xml:space="preserve">водите са един от основните компоненти на околната среда и те се засягат от изпълнението на </w:t>
      </w:r>
      <w:r w:rsidR="003E0E43" w:rsidRPr="003E0E43">
        <w:rPr>
          <w:rFonts w:ascii="Times New Roman" w:eastAsia="Calibri" w:hAnsi="Times New Roman" w:cs="Times New Roman"/>
          <w:i/>
          <w:iCs/>
          <w:sz w:val="24"/>
          <w:szCs w:val="24"/>
        </w:rPr>
        <w:t>различни икономически дейности</w:t>
      </w:r>
      <w:r w:rsidR="006C0A26">
        <w:rPr>
          <w:rFonts w:ascii="Times New Roman" w:eastAsia="Calibri" w:hAnsi="Times New Roman" w:cs="Times New Roman"/>
          <w:i/>
          <w:iCs/>
          <w:sz w:val="24"/>
          <w:szCs w:val="24"/>
        </w:rPr>
        <w:t>,</w:t>
      </w:r>
      <w:r w:rsidR="00D94156" w:rsidRPr="003E0E43">
        <w:rPr>
          <w:rFonts w:ascii="Times New Roman" w:eastAsia="Calibri" w:hAnsi="Times New Roman" w:cs="Times New Roman"/>
          <w:i/>
          <w:iCs/>
          <w:sz w:val="24"/>
          <w:szCs w:val="24"/>
        </w:rPr>
        <w:t xml:space="preserve"> </w:t>
      </w:r>
      <w:r w:rsidRPr="003E0E43">
        <w:rPr>
          <w:rFonts w:ascii="Times New Roman" w:eastAsia="Calibri" w:hAnsi="Times New Roman" w:cs="Times New Roman"/>
          <w:i/>
          <w:iCs/>
          <w:sz w:val="24"/>
          <w:szCs w:val="24"/>
        </w:rPr>
        <w:t>в Доклада за екологична оценка</w:t>
      </w:r>
      <w:r w:rsidR="00D94156" w:rsidRPr="003E0E43">
        <w:rPr>
          <w:rFonts w:ascii="Times New Roman" w:eastAsia="Calibri" w:hAnsi="Times New Roman" w:cs="Times New Roman"/>
          <w:i/>
          <w:iCs/>
          <w:sz w:val="24"/>
          <w:szCs w:val="24"/>
        </w:rPr>
        <w:t xml:space="preserve"> този компонент </w:t>
      </w:r>
      <w:r w:rsidRPr="003E0E43">
        <w:rPr>
          <w:rFonts w:ascii="Times New Roman" w:eastAsia="Calibri" w:hAnsi="Times New Roman" w:cs="Times New Roman"/>
          <w:i/>
          <w:iCs/>
          <w:sz w:val="24"/>
          <w:szCs w:val="24"/>
        </w:rPr>
        <w:t>ще бъде разгледан подробно, като също ще бъде представена информация за екологичното и химично състояние на повърхностните води, както и за риска от наводнения, групирана по Басейнови дирекции.</w:t>
      </w:r>
    </w:p>
    <w:p w14:paraId="75A79ACF" w14:textId="77777777" w:rsidR="00973A26" w:rsidRPr="008E0C78" w:rsidRDefault="00973A26" w:rsidP="001D33CA">
      <w:pPr>
        <w:pStyle w:val="ListParagraph"/>
        <w:spacing w:after="0" w:line="276" w:lineRule="auto"/>
        <w:ind w:left="0" w:firstLine="709"/>
        <w:jc w:val="both"/>
        <w:rPr>
          <w:rFonts w:ascii="Times New Roman" w:hAnsi="Times New Roman" w:cs="Times New Roman"/>
          <w:color w:val="FF0000"/>
          <w:sz w:val="24"/>
          <w:szCs w:val="24"/>
          <w:highlight w:val="yellow"/>
        </w:rPr>
      </w:pPr>
    </w:p>
    <w:p w14:paraId="39EAF7ED" w14:textId="77777777" w:rsidR="000E0DAB" w:rsidRPr="002906B7" w:rsidRDefault="00DE3EBD" w:rsidP="004F15F5">
      <w:pPr>
        <w:pStyle w:val="Heading5"/>
        <w:numPr>
          <w:ilvl w:val="2"/>
          <w:numId w:val="8"/>
        </w:numPr>
        <w:spacing w:line="276" w:lineRule="auto"/>
        <w:ind w:left="0" w:firstLine="709"/>
        <w:jc w:val="both"/>
        <w:rPr>
          <w:rFonts w:ascii="Times New Roman" w:hAnsi="Times New Roman" w:cs="Times New Roman"/>
          <w:b/>
          <w:i/>
          <w:color w:val="auto"/>
          <w:sz w:val="24"/>
        </w:rPr>
      </w:pPr>
      <w:r w:rsidRPr="002906B7">
        <w:rPr>
          <w:rFonts w:ascii="Times New Roman" w:hAnsi="Times New Roman" w:cs="Times New Roman"/>
          <w:b/>
          <w:i/>
          <w:color w:val="auto"/>
          <w:sz w:val="24"/>
        </w:rPr>
        <w:t>Състояние на п</w:t>
      </w:r>
      <w:r w:rsidR="000E0DAB" w:rsidRPr="002906B7">
        <w:rPr>
          <w:rFonts w:ascii="Times New Roman" w:hAnsi="Times New Roman" w:cs="Times New Roman"/>
          <w:b/>
          <w:i/>
          <w:color w:val="auto"/>
          <w:sz w:val="24"/>
        </w:rPr>
        <w:t xml:space="preserve">одземните води </w:t>
      </w:r>
    </w:p>
    <w:p w14:paraId="06361B57" w14:textId="77777777" w:rsidR="00D94156" w:rsidRPr="002906B7" w:rsidRDefault="00D94156" w:rsidP="00D94156">
      <w:pPr>
        <w:spacing w:after="0" w:line="276" w:lineRule="auto"/>
        <w:ind w:firstLine="709"/>
        <w:contextualSpacing/>
        <w:jc w:val="both"/>
        <w:rPr>
          <w:rFonts w:ascii="Times New Roman" w:eastAsia="Calibri" w:hAnsi="Times New Roman" w:cs="Times New Roman"/>
          <w:sz w:val="24"/>
          <w:szCs w:val="24"/>
        </w:rPr>
      </w:pPr>
      <w:r w:rsidRPr="002906B7">
        <w:rPr>
          <w:rFonts w:ascii="Times New Roman" w:hAnsi="Times New Roman" w:cs="Times New Roman"/>
          <w:sz w:val="24"/>
          <w:szCs w:val="24"/>
        </w:rPr>
        <w:t xml:space="preserve">Формирането, подхранването и характера на режима на подземните води в България се обуславя от твърде диференцираната взаимозависимост между различните геоложки и физикогеографски фактори, като - </w:t>
      </w:r>
      <w:r w:rsidRPr="002906B7">
        <w:rPr>
          <w:rFonts w:ascii="Times New Roman" w:eastAsia="Calibri" w:hAnsi="Times New Roman" w:cs="Times New Roman"/>
          <w:sz w:val="24"/>
          <w:szCs w:val="24"/>
        </w:rPr>
        <w:t>релеф, климат, хидрология и хидрография, геоложки строеж, литоложки състав на скалите, тектонски структури.</w:t>
      </w:r>
    </w:p>
    <w:p w14:paraId="11573695" w14:textId="7DCE752D" w:rsidR="009D70C2" w:rsidRPr="002906B7" w:rsidRDefault="009D70C2" w:rsidP="00D94156">
      <w:pPr>
        <w:spacing w:after="0" w:line="276" w:lineRule="auto"/>
        <w:ind w:firstLine="709"/>
        <w:contextualSpacing/>
        <w:jc w:val="both"/>
        <w:rPr>
          <w:rFonts w:ascii="Times New Roman" w:hAnsi="Times New Roman" w:cs="Times New Roman"/>
          <w:b/>
          <w:bCs/>
          <w:i/>
          <w:iCs/>
          <w:sz w:val="24"/>
          <w:szCs w:val="24"/>
        </w:rPr>
      </w:pPr>
      <w:r w:rsidRPr="002906B7">
        <w:rPr>
          <w:rFonts w:ascii="Times New Roman" w:hAnsi="Times New Roman" w:cs="Times New Roman"/>
          <w:b/>
          <w:bCs/>
          <w:i/>
          <w:iCs/>
          <w:sz w:val="24"/>
          <w:szCs w:val="24"/>
        </w:rPr>
        <w:t>Дунавски район</w:t>
      </w:r>
    </w:p>
    <w:p w14:paraId="5D395EC3" w14:textId="2C70D5DB" w:rsidR="009D70C2" w:rsidRPr="002906B7" w:rsidRDefault="009D70C2" w:rsidP="00D94156">
      <w:pPr>
        <w:spacing w:after="0" w:line="276" w:lineRule="auto"/>
        <w:ind w:firstLine="709"/>
        <w:contextualSpacing/>
        <w:jc w:val="both"/>
        <w:rPr>
          <w:rFonts w:ascii="Times New Roman" w:hAnsi="Times New Roman" w:cs="Times New Roman"/>
          <w:sz w:val="24"/>
          <w:szCs w:val="24"/>
        </w:rPr>
      </w:pPr>
      <w:r w:rsidRPr="002906B7">
        <w:rPr>
          <w:rFonts w:ascii="Times New Roman" w:hAnsi="Times New Roman" w:cs="Times New Roman"/>
          <w:sz w:val="24"/>
          <w:szCs w:val="24"/>
        </w:rPr>
        <w:t>В ПУРБ 2022-2027</w:t>
      </w:r>
      <w:r w:rsidR="00470CC6">
        <w:rPr>
          <w:rFonts w:ascii="Times New Roman" w:hAnsi="Times New Roman" w:cs="Times New Roman"/>
          <w:sz w:val="24"/>
          <w:szCs w:val="24"/>
        </w:rPr>
        <w:t xml:space="preserve"> г. </w:t>
      </w:r>
      <w:r w:rsidRPr="002906B7">
        <w:rPr>
          <w:rFonts w:ascii="Times New Roman" w:hAnsi="Times New Roman" w:cs="Times New Roman"/>
          <w:sz w:val="24"/>
          <w:szCs w:val="24"/>
        </w:rPr>
        <w:t>броят на подземните водни тела е 50.</w:t>
      </w:r>
    </w:p>
    <w:p w14:paraId="3CD0DB42" w14:textId="77777777" w:rsidR="002906B7" w:rsidRPr="002906B7" w:rsidRDefault="002906B7" w:rsidP="002906B7">
      <w:pPr>
        <w:spacing w:after="0" w:line="276" w:lineRule="auto"/>
        <w:ind w:firstLine="709"/>
        <w:contextualSpacing/>
        <w:jc w:val="both"/>
        <w:rPr>
          <w:rFonts w:ascii="Times New Roman" w:hAnsi="Times New Roman" w:cs="Times New Roman"/>
          <w:sz w:val="24"/>
          <w:szCs w:val="24"/>
        </w:rPr>
      </w:pPr>
      <w:r w:rsidRPr="002906B7">
        <w:rPr>
          <w:rFonts w:ascii="Times New Roman" w:hAnsi="Times New Roman" w:cs="Times New Roman"/>
          <w:sz w:val="24"/>
          <w:szCs w:val="24"/>
        </w:rPr>
        <w:t>Чрез прилагане на подхода за характеризирането е извършена първоначална и допълнителна характеристика на подземните водни тела. За всяко подземно водно тяло е определен код, наименование, критерии за очертаване, редица геоложки и хидрогеоложки показатели, вкл. и връзката със сухоземните и водовземните екосистеми.</w:t>
      </w:r>
    </w:p>
    <w:p w14:paraId="33783B35" w14:textId="77777777" w:rsidR="002906B7" w:rsidRPr="002906B7" w:rsidRDefault="002906B7" w:rsidP="002906B7">
      <w:pPr>
        <w:spacing w:after="0" w:line="276" w:lineRule="auto"/>
        <w:ind w:firstLine="709"/>
        <w:contextualSpacing/>
        <w:jc w:val="both"/>
        <w:rPr>
          <w:rFonts w:ascii="Times New Roman" w:hAnsi="Times New Roman" w:cs="Times New Roman"/>
          <w:sz w:val="24"/>
          <w:szCs w:val="24"/>
        </w:rPr>
      </w:pPr>
      <w:r w:rsidRPr="002906B7">
        <w:rPr>
          <w:rFonts w:ascii="Times New Roman" w:hAnsi="Times New Roman" w:cs="Times New Roman"/>
          <w:sz w:val="24"/>
          <w:szCs w:val="24"/>
        </w:rPr>
        <w:t>Запазва се доброто количествено състояние на всички подземни водни тела - всички подземни водни тела са в добро количествено състояние.</w:t>
      </w:r>
    </w:p>
    <w:p w14:paraId="5DBA5A58" w14:textId="26843DFE" w:rsidR="002906B7" w:rsidRDefault="002906B7" w:rsidP="002906B7">
      <w:pPr>
        <w:spacing w:after="0" w:line="276" w:lineRule="auto"/>
        <w:ind w:firstLine="709"/>
        <w:contextualSpacing/>
        <w:jc w:val="both"/>
        <w:rPr>
          <w:rFonts w:ascii="Times New Roman" w:hAnsi="Times New Roman" w:cs="Times New Roman"/>
          <w:sz w:val="24"/>
          <w:szCs w:val="24"/>
        </w:rPr>
      </w:pPr>
      <w:r w:rsidRPr="002906B7">
        <w:rPr>
          <w:rFonts w:ascii="Times New Roman" w:hAnsi="Times New Roman" w:cs="Times New Roman"/>
          <w:sz w:val="24"/>
          <w:szCs w:val="24"/>
        </w:rPr>
        <w:t>Броят на ПВТ в риск е 7 бр. и е намален спрямо ПУРБ 2016-2021, където са били 13 бр.</w:t>
      </w:r>
    </w:p>
    <w:p w14:paraId="1B468849" w14:textId="77777777" w:rsidR="00470CC6" w:rsidRPr="00470CC6" w:rsidRDefault="00470CC6" w:rsidP="00470CC6">
      <w:pPr>
        <w:spacing w:after="0" w:line="276" w:lineRule="auto"/>
        <w:ind w:firstLine="709"/>
        <w:contextualSpacing/>
        <w:jc w:val="both"/>
        <w:rPr>
          <w:rFonts w:ascii="Times New Roman" w:hAnsi="Times New Roman" w:cs="Times New Roman"/>
          <w:sz w:val="24"/>
          <w:szCs w:val="24"/>
        </w:rPr>
      </w:pPr>
      <w:r w:rsidRPr="00470CC6">
        <w:rPr>
          <w:rFonts w:ascii="Times New Roman" w:hAnsi="Times New Roman" w:cs="Times New Roman"/>
          <w:sz w:val="24"/>
          <w:szCs w:val="24"/>
        </w:rPr>
        <w:t>Получените резултати от оценката на химичното състояние показват, че от 50 подземни водни тела попадащи на територията на ДР:</w:t>
      </w:r>
    </w:p>
    <w:p w14:paraId="7BE72997" w14:textId="77777777" w:rsidR="00470CC6" w:rsidRPr="00470CC6" w:rsidRDefault="00470CC6" w:rsidP="00470CC6">
      <w:pPr>
        <w:spacing w:after="0" w:line="276" w:lineRule="auto"/>
        <w:ind w:firstLine="709"/>
        <w:contextualSpacing/>
        <w:jc w:val="both"/>
        <w:rPr>
          <w:rFonts w:ascii="Times New Roman" w:hAnsi="Times New Roman" w:cs="Times New Roman"/>
          <w:sz w:val="24"/>
          <w:szCs w:val="24"/>
        </w:rPr>
      </w:pPr>
      <w:r w:rsidRPr="00470CC6">
        <w:rPr>
          <w:rFonts w:ascii="Times New Roman" w:hAnsi="Times New Roman" w:cs="Times New Roman"/>
          <w:sz w:val="24"/>
          <w:szCs w:val="24"/>
        </w:rPr>
        <w:t>• 10 ПВТ са оценени в „лошо“ химично състояние;</w:t>
      </w:r>
    </w:p>
    <w:p w14:paraId="6E337439" w14:textId="77777777" w:rsidR="00470CC6" w:rsidRPr="00470CC6" w:rsidRDefault="00470CC6" w:rsidP="00470CC6">
      <w:pPr>
        <w:spacing w:after="0" w:line="276" w:lineRule="auto"/>
        <w:ind w:firstLine="709"/>
        <w:contextualSpacing/>
        <w:jc w:val="both"/>
        <w:rPr>
          <w:rFonts w:ascii="Times New Roman" w:hAnsi="Times New Roman" w:cs="Times New Roman"/>
          <w:sz w:val="24"/>
          <w:szCs w:val="24"/>
        </w:rPr>
      </w:pPr>
      <w:r w:rsidRPr="00470CC6">
        <w:rPr>
          <w:rFonts w:ascii="Times New Roman" w:hAnsi="Times New Roman" w:cs="Times New Roman"/>
          <w:sz w:val="24"/>
          <w:szCs w:val="24"/>
        </w:rPr>
        <w:t>• 40 тела са оценени в „добро“ химично състояние ;</w:t>
      </w:r>
    </w:p>
    <w:p w14:paraId="46FE9DFA" w14:textId="77777777" w:rsidR="00470CC6" w:rsidRPr="00470CC6" w:rsidRDefault="00470CC6" w:rsidP="00470CC6">
      <w:pPr>
        <w:spacing w:after="0" w:line="276" w:lineRule="auto"/>
        <w:ind w:firstLine="709"/>
        <w:contextualSpacing/>
        <w:jc w:val="both"/>
        <w:rPr>
          <w:rFonts w:ascii="Times New Roman" w:hAnsi="Times New Roman" w:cs="Times New Roman"/>
          <w:sz w:val="24"/>
          <w:szCs w:val="24"/>
        </w:rPr>
      </w:pPr>
      <w:r w:rsidRPr="00470CC6">
        <w:rPr>
          <w:rFonts w:ascii="Times New Roman" w:hAnsi="Times New Roman" w:cs="Times New Roman"/>
          <w:sz w:val="24"/>
          <w:szCs w:val="24"/>
        </w:rPr>
        <w:t>В сравнение с ПУРБ 2016 - 2021 г., 12 броя ПВТ, които тогава са били оценени в лошо химично състояние, сега постигат добро химично състояние. Всички водни тела оценени в добро химично състояние към втория ПУРБ са го запазили.</w:t>
      </w:r>
    </w:p>
    <w:p w14:paraId="30FF4F9F" w14:textId="77777777" w:rsidR="00470CC6" w:rsidRPr="00470CC6" w:rsidRDefault="00470CC6" w:rsidP="00470CC6">
      <w:pPr>
        <w:spacing w:after="0" w:line="276" w:lineRule="auto"/>
        <w:ind w:firstLine="709"/>
        <w:contextualSpacing/>
        <w:jc w:val="both"/>
        <w:rPr>
          <w:rFonts w:ascii="Times New Roman" w:hAnsi="Times New Roman" w:cs="Times New Roman"/>
          <w:sz w:val="24"/>
          <w:szCs w:val="24"/>
        </w:rPr>
      </w:pPr>
      <w:r w:rsidRPr="00470CC6">
        <w:rPr>
          <w:rFonts w:ascii="Times New Roman" w:hAnsi="Times New Roman" w:cs="Times New Roman"/>
          <w:sz w:val="24"/>
          <w:szCs w:val="24"/>
        </w:rPr>
        <w:lastRenderedPageBreak/>
        <w:t>Идентифицираните вещества, с установени концентрации над стандартите за качество и праговите стойности в ПВТ (основни замърсители в ПВТ, които са причина за не-добро състояние), са следните:</w:t>
      </w:r>
    </w:p>
    <w:p w14:paraId="4D9E4B65" w14:textId="77777777" w:rsidR="00470CC6" w:rsidRPr="00470CC6" w:rsidRDefault="00470CC6" w:rsidP="00470CC6">
      <w:pPr>
        <w:spacing w:after="0" w:line="276" w:lineRule="auto"/>
        <w:ind w:firstLine="709"/>
        <w:contextualSpacing/>
        <w:jc w:val="both"/>
        <w:rPr>
          <w:rFonts w:ascii="Times New Roman" w:hAnsi="Times New Roman" w:cs="Times New Roman"/>
          <w:sz w:val="24"/>
          <w:szCs w:val="24"/>
        </w:rPr>
      </w:pPr>
      <w:r w:rsidRPr="00470CC6">
        <w:rPr>
          <w:rFonts w:ascii="Times New Roman" w:hAnsi="Times New Roman" w:cs="Times New Roman"/>
          <w:sz w:val="24"/>
          <w:szCs w:val="24"/>
        </w:rPr>
        <w:t>• Нитрати - 6 бр. ПВТ</w:t>
      </w:r>
    </w:p>
    <w:p w14:paraId="4CBF4A37" w14:textId="77777777" w:rsidR="00470CC6" w:rsidRPr="00470CC6" w:rsidRDefault="00470CC6" w:rsidP="00470CC6">
      <w:pPr>
        <w:spacing w:after="0" w:line="276" w:lineRule="auto"/>
        <w:ind w:firstLine="709"/>
        <w:contextualSpacing/>
        <w:jc w:val="both"/>
        <w:rPr>
          <w:rFonts w:ascii="Times New Roman" w:hAnsi="Times New Roman" w:cs="Times New Roman"/>
          <w:sz w:val="24"/>
          <w:szCs w:val="24"/>
        </w:rPr>
      </w:pPr>
      <w:r w:rsidRPr="00470CC6">
        <w:rPr>
          <w:rFonts w:ascii="Times New Roman" w:hAnsi="Times New Roman" w:cs="Times New Roman"/>
          <w:sz w:val="24"/>
          <w:szCs w:val="24"/>
        </w:rPr>
        <w:t>• Манган - 3 бр. ПВТ</w:t>
      </w:r>
    </w:p>
    <w:p w14:paraId="618F08BA" w14:textId="77777777" w:rsidR="00470CC6" w:rsidRPr="00470CC6" w:rsidRDefault="00470CC6" w:rsidP="00470CC6">
      <w:pPr>
        <w:spacing w:after="0" w:line="276" w:lineRule="auto"/>
        <w:ind w:firstLine="709"/>
        <w:contextualSpacing/>
        <w:jc w:val="both"/>
        <w:rPr>
          <w:rFonts w:ascii="Times New Roman" w:hAnsi="Times New Roman" w:cs="Times New Roman"/>
          <w:sz w:val="24"/>
          <w:szCs w:val="24"/>
        </w:rPr>
      </w:pPr>
      <w:r w:rsidRPr="00470CC6">
        <w:rPr>
          <w:rFonts w:ascii="Times New Roman" w:hAnsi="Times New Roman" w:cs="Times New Roman"/>
          <w:sz w:val="24"/>
          <w:szCs w:val="24"/>
        </w:rPr>
        <w:t>• Желязо - 2 бр. ПВТ</w:t>
      </w:r>
    </w:p>
    <w:p w14:paraId="474EC53A" w14:textId="77777777" w:rsidR="00470CC6" w:rsidRPr="00470CC6" w:rsidRDefault="00470CC6" w:rsidP="00470CC6">
      <w:pPr>
        <w:spacing w:after="0" w:line="276" w:lineRule="auto"/>
        <w:ind w:firstLine="709"/>
        <w:contextualSpacing/>
        <w:jc w:val="both"/>
        <w:rPr>
          <w:rFonts w:ascii="Times New Roman" w:hAnsi="Times New Roman" w:cs="Times New Roman"/>
          <w:sz w:val="24"/>
          <w:szCs w:val="24"/>
        </w:rPr>
      </w:pPr>
      <w:r w:rsidRPr="00470CC6">
        <w:rPr>
          <w:rFonts w:ascii="Times New Roman" w:hAnsi="Times New Roman" w:cs="Times New Roman"/>
          <w:sz w:val="24"/>
          <w:szCs w:val="24"/>
        </w:rPr>
        <w:t>• Хром - 1 бр. ПВТ</w:t>
      </w:r>
    </w:p>
    <w:p w14:paraId="33F10D00" w14:textId="77777777" w:rsidR="00470CC6" w:rsidRPr="00470CC6" w:rsidRDefault="00470CC6" w:rsidP="00470CC6">
      <w:pPr>
        <w:spacing w:after="0" w:line="276" w:lineRule="auto"/>
        <w:ind w:firstLine="709"/>
        <w:contextualSpacing/>
        <w:jc w:val="both"/>
        <w:rPr>
          <w:rFonts w:ascii="Times New Roman" w:hAnsi="Times New Roman" w:cs="Times New Roman"/>
          <w:sz w:val="24"/>
          <w:szCs w:val="24"/>
        </w:rPr>
      </w:pPr>
      <w:r w:rsidRPr="00470CC6">
        <w:rPr>
          <w:rFonts w:ascii="Times New Roman" w:hAnsi="Times New Roman" w:cs="Times New Roman"/>
          <w:sz w:val="24"/>
          <w:szCs w:val="24"/>
        </w:rPr>
        <w:t>• Ортофосфати - 1 бр. ПВТ</w:t>
      </w:r>
    </w:p>
    <w:p w14:paraId="738D8C45" w14:textId="418C850D" w:rsidR="00470CC6" w:rsidRDefault="00470CC6" w:rsidP="00470CC6">
      <w:pPr>
        <w:spacing w:after="0" w:line="276" w:lineRule="auto"/>
        <w:ind w:firstLine="709"/>
        <w:contextualSpacing/>
        <w:jc w:val="both"/>
        <w:rPr>
          <w:rFonts w:ascii="Times New Roman" w:hAnsi="Times New Roman" w:cs="Times New Roman"/>
          <w:sz w:val="24"/>
          <w:szCs w:val="24"/>
        </w:rPr>
      </w:pPr>
      <w:r w:rsidRPr="00470CC6">
        <w:rPr>
          <w:rFonts w:ascii="Times New Roman" w:hAnsi="Times New Roman" w:cs="Times New Roman"/>
          <w:sz w:val="24"/>
          <w:szCs w:val="24"/>
        </w:rPr>
        <w:t>• Амониеви йони – 1 бр. ПВ</w:t>
      </w:r>
    </w:p>
    <w:p w14:paraId="18902917" w14:textId="77777777" w:rsidR="00470CC6" w:rsidRDefault="00470CC6" w:rsidP="002906B7">
      <w:pPr>
        <w:spacing w:after="0" w:line="276" w:lineRule="auto"/>
        <w:ind w:firstLine="709"/>
        <w:contextualSpacing/>
        <w:jc w:val="both"/>
        <w:rPr>
          <w:rFonts w:ascii="Times New Roman" w:hAnsi="Times New Roman" w:cs="Times New Roman"/>
          <w:sz w:val="24"/>
          <w:szCs w:val="24"/>
        </w:rPr>
      </w:pPr>
    </w:p>
    <w:p w14:paraId="2758D862" w14:textId="0E0B5FAC" w:rsidR="00470CC6" w:rsidRPr="00D557F0" w:rsidRDefault="00D557F0" w:rsidP="002906B7">
      <w:pPr>
        <w:spacing w:after="0" w:line="276" w:lineRule="auto"/>
        <w:ind w:firstLine="709"/>
        <w:contextualSpacing/>
        <w:jc w:val="both"/>
        <w:rPr>
          <w:rFonts w:ascii="Times New Roman" w:hAnsi="Times New Roman" w:cs="Times New Roman"/>
          <w:b/>
          <w:bCs/>
          <w:i/>
          <w:iCs/>
          <w:sz w:val="24"/>
          <w:szCs w:val="24"/>
        </w:rPr>
      </w:pPr>
      <w:r w:rsidRPr="00D557F0">
        <w:rPr>
          <w:rFonts w:ascii="Times New Roman" w:hAnsi="Times New Roman" w:cs="Times New Roman"/>
          <w:b/>
          <w:bCs/>
          <w:i/>
          <w:iCs/>
          <w:sz w:val="24"/>
          <w:szCs w:val="24"/>
        </w:rPr>
        <w:t xml:space="preserve">Западнобеломорски </w:t>
      </w:r>
      <w:r>
        <w:rPr>
          <w:rFonts w:ascii="Times New Roman" w:hAnsi="Times New Roman" w:cs="Times New Roman"/>
          <w:b/>
          <w:bCs/>
          <w:i/>
          <w:iCs/>
          <w:sz w:val="24"/>
          <w:szCs w:val="24"/>
        </w:rPr>
        <w:t>р</w:t>
      </w:r>
      <w:r w:rsidRPr="00D557F0">
        <w:rPr>
          <w:rFonts w:ascii="Times New Roman" w:hAnsi="Times New Roman" w:cs="Times New Roman"/>
          <w:b/>
          <w:bCs/>
          <w:i/>
          <w:iCs/>
          <w:sz w:val="24"/>
          <w:szCs w:val="24"/>
        </w:rPr>
        <w:t>айон</w:t>
      </w:r>
    </w:p>
    <w:p w14:paraId="7485B1AE" w14:textId="23C2FCCD" w:rsidR="00D641CE" w:rsidRDefault="00D641CE" w:rsidP="00D641CE">
      <w:pPr>
        <w:spacing w:after="0" w:line="276" w:lineRule="auto"/>
        <w:ind w:firstLine="709"/>
        <w:contextualSpacing/>
        <w:jc w:val="both"/>
        <w:rPr>
          <w:rFonts w:ascii="Times New Roman" w:hAnsi="Times New Roman" w:cs="Times New Roman"/>
          <w:sz w:val="24"/>
          <w:szCs w:val="24"/>
        </w:rPr>
      </w:pPr>
      <w:r w:rsidRPr="002906B7">
        <w:rPr>
          <w:rFonts w:ascii="Times New Roman" w:hAnsi="Times New Roman" w:cs="Times New Roman"/>
          <w:sz w:val="24"/>
          <w:szCs w:val="24"/>
        </w:rPr>
        <w:t>В ПУРБ 2022-2027</w:t>
      </w:r>
      <w:r>
        <w:rPr>
          <w:rFonts w:ascii="Times New Roman" w:hAnsi="Times New Roman" w:cs="Times New Roman"/>
          <w:sz w:val="24"/>
          <w:szCs w:val="24"/>
        </w:rPr>
        <w:t xml:space="preserve"> г. </w:t>
      </w:r>
      <w:r w:rsidRPr="002906B7">
        <w:rPr>
          <w:rFonts w:ascii="Times New Roman" w:hAnsi="Times New Roman" w:cs="Times New Roman"/>
          <w:sz w:val="24"/>
          <w:szCs w:val="24"/>
        </w:rPr>
        <w:t xml:space="preserve">броят на подземните водни тела е </w:t>
      </w:r>
      <w:r>
        <w:rPr>
          <w:rFonts w:ascii="Times New Roman" w:hAnsi="Times New Roman" w:cs="Times New Roman"/>
          <w:sz w:val="24"/>
          <w:szCs w:val="24"/>
        </w:rPr>
        <w:t>38</w:t>
      </w:r>
      <w:r w:rsidRPr="002906B7">
        <w:rPr>
          <w:rFonts w:ascii="Times New Roman" w:hAnsi="Times New Roman" w:cs="Times New Roman"/>
          <w:sz w:val="24"/>
          <w:szCs w:val="24"/>
        </w:rPr>
        <w:t>.</w:t>
      </w:r>
    </w:p>
    <w:p w14:paraId="7A0DDF26" w14:textId="6A006B81" w:rsidR="00D641CE" w:rsidRDefault="00AA4C3E" w:rsidP="00D641CE">
      <w:pPr>
        <w:spacing w:after="0" w:line="276" w:lineRule="auto"/>
        <w:ind w:firstLine="709"/>
        <w:contextualSpacing/>
        <w:jc w:val="both"/>
        <w:rPr>
          <w:rFonts w:ascii="Times New Roman" w:hAnsi="Times New Roman" w:cs="Times New Roman"/>
          <w:sz w:val="24"/>
          <w:szCs w:val="24"/>
        </w:rPr>
      </w:pPr>
      <w:r w:rsidRPr="00AA4C3E">
        <w:rPr>
          <w:rFonts w:ascii="Times New Roman" w:hAnsi="Times New Roman" w:cs="Times New Roman"/>
          <w:sz w:val="24"/>
          <w:szCs w:val="24"/>
        </w:rPr>
        <w:t xml:space="preserve">Оценката на количественото състояние </w:t>
      </w:r>
      <w:r>
        <w:rPr>
          <w:rFonts w:ascii="Times New Roman" w:hAnsi="Times New Roman" w:cs="Times New Roman"/>
          <w:sz w:val="24"/>
          <w:szCs w:val="24"/>
        </w:rPr>
        <w:t xml:space="preserve">показва, че тези в риск са </w:t>
      </w:r>
      <w:r w:rsidRPr="00AA4C3E">
        <w:rPr>
          <w:rFonts w:ascii="Times New Roman" w:hAnsi="Times New Roman" w:cs="Times New Roman"/>
          <w:sz w:val="24"/>
          <w:szCs w:val="24"/>
        </w:rPr>
        <w:t>18</w:t>
      </w:r>
      <w:r>
        <w:rPr>
          <w:rFonts w:ascii="Times New Roman" w:hAnsi="Times New Roman" w:cs="Times New Roman"/>
          <w:sz w:val="24"/>
          <w:szCs w:val="24"/>
        </w:rPr>
        <w:t xml:space="preserve">,  </w:t>
      </w:r>
      <w:r w:rsidR="00A07290">
        <w:rPr>
          <w:rFonts w:ascii="Times New Roman" w:hAnsi="Times New Roman" w:cs="Times New Roman"/>
          <w:sz w:val="24"/>
          <w:szCs w:val="24"/>
        </w:rPr>
        <w:t xml:space="preserve">а </w:t>
      </w:r>
      <w:r w:rsidRPr="00AA4C3E">
        <w:rPr>
          <w:rFonts w:ascii="Times New Roman" w:hAnsi="Times New Roman" w:cs="Times New Roman"/>
          <w:sz w:val="24"/>
          <w:szCs w:val="24"/>
        </w:rPr>
        <w:t>3 бр. са оценени в лошо количествено състояние.</w:t>
      </w:r>
    </w:p>
    <w:p w14:paraId="2C1290BB" w14:textId="77777777" w:rsidR="00D641CE" w:rsidRDefault="00D641CE" w:rsidP="00D641CE">
      <w:pPr>
        <w:spacing w:after="0" w:line="276" w:lineRule="auto"/>
        <w:ind w:firstLine="709"/>
        <w:contextualSpacing/>
        <w:jc w:val="both"/>
        <w:rPr>
          <w:rFonts w:ascii="Times New Roman" w:hAnsi="Times New Roman" w:cs="Times New Roman"/>
          <w:sz w:val="24"/>
          <w:szCs w:val="24"/>
        </w:rPr>
      </w:pPr>
    </w:p>
    <w:p w14:paraId="48908126" w14:textId="5917EA70" w:rsidR="00D641CE" w:rsidRDefault="00A07290" w:rsidP="0079326A">
      <w:pPr>
        <w:spacing w:after="0" w:line="276" w:lineRule="auto"/>
        <w:contextualSpacing/>
        <w:jc w:val="both"/>
        <w:rPr>
          <w:rFonts w:ascii="Times New Roman" w:hAnsi="Times New Roman" w:cs="Times New Roman"/>
          <w:sz w:val="24"/>
          <w:szCs w:val="24"/>
        </w:rPr>
      </w:pPr>
      <w:r w:rsidRPr="00A07290">
        <w:rPr>
          <w:rFonts w:ascii="Times New Roman" w:hAnsi="Times New Roman" w:cs="Times New Roman"/>
          <w:noProof/>
          <w:sz w:val="24"/>
          <w:szCs w:val="24"/>
          <w:lang w:eastAsia="bg-BG"/>
        </w:rPr>
        <w:drawing>
          <wp:inline distT="0" distB="0" distL="0" distR="0" wp14:anchorId="0589BAC9" wp14:editId="2C020933">
            <wp:extent cx="5943600" cy="4587240"/>
            <wp:effectExtent l="0" t="0" r="0" b="3810"/>
            <wp:docPr id="1875024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024002" name=""/>
                    <pic:cNvPicPr/>
                  </pic:nvPicPr>
                  <pic:blipFill>
                    <a:blip r:embed="rId18"/>
                    <a:stretch>
                      <a:fillRect/>
                    </a:stretch>
                  </pic:blipFill>
                  <pic:spPr>
                    <a:xfrm>
                      <a:off x="0" y="0"/>
                      <a:ext cx="5943600" cy="4587240"/>
                    </a:xfrm>
                    <a:prstGeom prst="rect">
                      <a:avLst/>
                    </a:prstGeom>
                  </pic:spPr>
                </pic:pic>
              </a:graphicData>
            </a:graphic>
          </wp:inline>
        </w:drawing>
      </w:r>
    </w:p>
    <w:p w14:paraId="16AF90B7" w14:textId="51FC6CA7" w:rsidR="00D641CE" w:rsidRPr="00A07290" w:rsidRDefault="00A07290" w:rsidP="00D641CE">
      <w:pPr>
        <w:spacing w:after="0" w:line="276" w:lineRule="auto"/>
        <w:ind w:firstLine="709"/>
        <w:contextualSpacing/>
        <w:jc w:val="both"/>
        <w:rPr>
          <w:rFonts w:ascii="Times New Roman" w:eastAsia="Calibri" w:hAnsi="Times New Roman" w:cs="Times New Roman"/>
          <w:bCs/>
          <w:iCs/>
          <w:sz w:val="24"/>
          <w:szCs w:val="24"/>
        </w:rPr>
      </w:pPr>
      <w:r w:rsidRPr="001F77C5">
        <w:rPr>
          <w:rFonts w:ascii="Times New Roman" w:eastAsia="Calibri" w:hAnsi="Times New Roman" w:cs="Times New Roman"/>
          <w:b/>
          <w:iCs/>
          <w:sz w:val="24"/>
          <w:szCs w:val="24"/>
        </w:rPr>
        <w:t>Фигура 2.1.</w:t>
      </w:r>
      <w:r>
        <w:rPr>
          <w:rFonts w:ascii="Times New Roman" w:eastAsia="Calibri" w:hAnsi="Times New Roman" w:cs="Times New Roman"/>
          <w:b/>
          <w:iCs/>
          <w:sz w:val="24"/>
          <w:szCs w:val="24"/>
        </w:rPr>
        <w:t>4</w:t>
      </w:r>
      <w:r w:rsidRPr="001F77C5">
        <w:rPr>
          <w:rFonts w:ascii="Times New Roman" w:eastAsia="Calibri" w:hAnsi="Times New Roman" w:cs="Times New Roman"/>
          <w:b/>
          <w:iCs/>
          <w:sz w:val="24"/>
          <w:szCs w:val="24"/>
        </w:rPr>
        <w:t>-</w:t>
      </w:r>
      <w:r>
        <w:rPr>
          <w:rFonts w:ascii="Times New Roman" w:eastAsia="Calibri" w:hAnsi="Times New Roman" w:cs="Times New Roman"/>
          <w:b/>
          <w:iCs/>
          <w:sz w:val="24"/>
          <w:szCs w:val="24"/>
        </w:rPr>
        <w:t>1</w:t>
      </w:r>
      <w:r w:rsidRPr="001F77C5">
        <w:rPr>
          <w:rFonts w:ascii="Times New Roman" w:eastAsia="Calibri" w:hAnsi="Times New Roman" w:cs="Times New Roman"/>
          <w:b/>
          <w:iCs/>
          <w:sz w:val="24"/>
          <w:szCs w:val="24"/>
        </w:rPr>
        <w:t>.</w:t>
      </w:r>
      <w:r w:rsidRPr="00A07290">
        <w:t xml:space="preserve"> </w:t>
      </w:r>
      <w:r w:rsidRPr="00A07290">
        <w:rPr>
          <w:rFonts w:ascii="Times New Roman" w:eastAsia="Calibri" w:hAnsi="Times New Roman" w:cs="Times New Roman"/>
          <w:bCs/>
          <w:iCs/>
          <w:sz w:val="24"/>
          <w:szCs w:val="24"/>
        </w:rPr>
        <w:t>Количествено състояние на подземните водни тела в Западнобеломорски район</w:t>
      </w:r>
    </w:p>
    <w:p w14:paraId="22F3D907" w14:textId="13B21935" w:rsidR="0079326A" w:rsidRPr="0079326A" w:rsidRDefault="0079326A" w:rsidP="0079326A">
      <w:pPr>
        <w:spacing w:after="0" w:line="276" w:lineRule="auto"/>
        <w:ind w:firstLine="709"/>
        <w:contextualSpacing/>
        <w:jc w:val="both"/>
        <w:rPr>
          <w:rFonts w:ascii="Times New Roman" w:eastAsia="Calibri" w:hAnsi="Times New Roman" w:cs="Times New Roman"/>
          <w:bCs/>
          <w:iCs/>
          <w:sz w:val="24"/>
          <w:szCs w:val="24"/>
        </w:rPr>
      </w:pPr>
      <w:r w:rsidRPr="0079326A">
        <w:rPr>
          <w:rFonts w:ascii="Times New Roman" w:eastAsia="Calibri" w:hAnsi="Times New Roman" w:cs="Times New Roman"/>
          <w:bCs/>
          <w:iCs/>
          <w:sz w:val="24"/>
          <w:szCs w:val="24"/>
        </w:rPr>
        <w:lastRenderedPageBreak/>
        <w:t>В лошо химично състояние са 4 броя ПВТ, което е 10,5 % от всички 38 ПВТ, като основните замърсители са нитрати и сулфати.</w:t>
      </w:r>
    </w:p>
    <w:p w14:paraId="026BD6FC" w14:textId="7FD99A69" w:rsidR="00A07290" w:rsidRDefault="0079326A" w:rsidP="0079326A">
      <w:pPr>
        <w:spacing w:after="0" w:line="276" w:lineRule="auto"/>
        <w:ind w:firstLine="709"/>
        <w:contextualSpacing/>
        <w:jc w:val="both"/>
        <w:rPr>
          <w:rFonts w:ascii="Times New Roman" w:eastAsia="Calibri" w:hAnsi="Times New Roman" w:cs="Times New Roman"/>
          <w:bCs/>
          <w:iCs/>
          <w:sz w:val="24"/>
          <w:szCs w:val="24"/>
        </w:rPr>
      </w:pPr>
      <w:r w:rsidRPr="0079326A">
        <w:rPr>
          <w:rFonts w:ascii="Times New Roman" w:eastAsia="Calibri" w:hAnsi="Times New Roman" w:cs="Times New Roman"/>
          <w:bCs/>
          <w:iCs/>
          <w:sz w:val="24"/>
          <w:szCs w:val="24"/>
        </w:rPr>
        <w:t>В две подземни водни тела причина за лошото химично състояние са нитратите - BG4G000000N011 и BG4G000000Q001. В другите две подземни водни тела, класифицирани в лошо химично състояние, BG4G000000Q004 и BG4G00001PG238, има превишения на сулфати.</w:t>
      </w:r>
    </w:p>
    <w:p w14:paraId="09E44771" w14:textId="77777777" w:rsidR="00242461" w:rsidRPr="00242461" w:rsidRDefault="00242461" w:rsidP="00242461">
      <w:pPr>
        <w:spacing w:after="0" w:line="276" w:lineRule="auto"/>
        <w:ind w:firstLine="709"/>
        <w:contextualSpacing/>
        <w:jc w:val="both"/>
        <w:rPr>
          <w:rFonts w:ascii="Times New Roman" w:eastAsia="Calibri" w:hAnsi="Times New Roman" w:cs="Times New Roman"/>
          <w:bCs/>
          <w:iCs/>
          <w:sz w:val="24"/>
          <w:szCs w:val="24"/>
        </w:rPr>
      </w:pPr>
      <w:r w:rsidRPr="00242461">
        <w:rPr>
          <w:rFonts w:ascii="Times New Roman" w:eastAsia="Calibri" w:hAnsi="Times New Roman" w:cs="Times New Roman"/>
          <w:bCs/>
          <w:iCs/>
          <w:sz w:val="24"/>
          <w:szCs w:val="24"/>
        </w:rPr>
        <w:t>Значими замърсители по отношение на химичното състояние на подземните води са:</w:t>
      </w:r>
    </w:p>
    <w:p w14:paraId="15956331" w14:textId="77777777" w:rsidR="00242461" w:rsidRPr="00242461" w:rsidRDefault="00242461" w:rsidP="00242461">
      <w:pPr>
        <w:spacing w:after="0" w:line="276" w:lineRule="auto"/>
        <w:ind w:firstLine="709"/>
        <w:contextualSpacing/>
        <w:jc w:val="both"/>
        <w:rPr>
          <w:rFonts w:ascii="Times New Roman" w:eastAsia="Calibri" w:hAnsi="Times New Roman" w:cs="Times New Roman"/>
          <w:bCs/>
          <w:iCs/>
          <w:sz w:val="24"/>
          <w:szCs w:val="24"/>
        </w:rPr>
      </w:pPr>
      <w:r w:rsidRPr="00242461">
        <w:rPr>
          <w:rFonts w:ascii="Times New Roman" w:eastAsia="Calibri" w:hAnsi="Times New Roman" w:cs="Times New Roman"/>
          <w:bCs/>
          <w:iCs/>
          <w:sz w:val="24"/>
          <w:szCs w:val="24"/>
        </w:rPr>
        <w:t>• липсата на канализации в населените места;</w:t>
      </w:r>
    </w:p>
    <w:p w14:paraId="72041978" w14:textId="77777777" w:rsidR="00242461" w:rsidRPr="00242461" w:rsidRDefault="00242461" w:rsidP="00242461">
      <w:pPr>
        <w:spacing w:after="0" w:line="276" w:lineRule="auto"/>
        <w:ind w:firstLine="709"/>
        <w:contextualSpacing/>
        <w:jc w:val="both"/>
        <w:rPr>
          <w:rFonts w:ascii="Times New Roman" w:eastAsia="Calibri" w:hAnsi="Times New Roman" w:cs="Times New Roman"/>
          <w:bCs/>
          <w:iCs/>
          <w:sz w:val="24"/>
          <w:szCs w:val="24"/>
        </w:rPr>
      </w:pPr>
      <w:r w:rsidRPr="00242461">
        <w:rPr>
          <w:rFonts w:ascii="Times New Roman" w:eastAsia="Calibri" w:hAnsi="Times New Roman" w:cs="Times New Roman"/>
          <w:bCs/>
          <w:iCs/>
          <w:sz w:val="24"/>
          <w:szCs w:val="24"/>
        </w:rPr>
        <w:t>• селскостопански дейности;</w:t>
      </w:r>
    </w:p>
    <w:p w14:paraId="2252091E" w14:textId="77777777" w:rsidR="00242461" w:rsidRPr="00242461" w:rsidRDefault="00242461" w:rsidP="00242461">
      <w:pPr>
        <w:spacing w:after="0" w:line="276" w:lineRule="auto"/>
        <w:ind w:firstLine="709"/>
        <w:contextualSpacing/>
        <w:jc w:val="both"/>
        <w:rPr>
          <w:rFonts w:ascii="Times New Roman" w:eastAsia="Calibri" w:hAnsi="Times New Roman" w:cs="Times New Roman"/>
          <w:bCs/>
          <w:iCs/>
          <w:sz w:val="24"/>
          <w:szCs w:val="24"/>
        </w:rPr>
      </w:pPr>
      <w:r w:rsidRPr="00242461">
        <w:rPr>
          <w:rFonts w:ascii="Times New Roman" w:eastAsia="Calibri" w:hAnsi="Times New Roman" w:cs="Times New Roman"/>
          <w:bCs/>
          <w:iCs/>
          <w:sz w:val="24"/>
          <w:szCs w:val="24"/>
        </w:rPr>
        <w:t>• индустриални площадки;</w:t>
      </w:r>
    </w:p>
    <w:p w14:paraId="40349126" w14:textId="77777777" w:rsidR="00242461" w:rsidRPr="00242461" w:rsidRDefault="00242461" w:rsidP="00242461">
      <w:pPr>
        <w:spacing w:after="0" w:line="276" w:lineRule="auto"/>
        <w:ind w:firstLine="709"/>
        <w:contextualSpacing/>
        <w:jc w:val="both"/>
        <w:rPr>
          <w:rFonts w:ascii="Times New Roman" w:eastAsia="Calibri" w:hAnsi="Times New Roman" w:cs="Times New Roman"/>
          <w:bCs/>
          <w:iCs/>
          <w:sz w:val="24"/>
          <w:szCs w:val="24"/>
        </w:rPr>
      </w:pPr>
      <w:r w:rsidRPr="00242461">
        <w:rPr>
          <w:rFonts w:ascii="Times New Roman" w:eastAsia="Calibri" w:hAnsi="Times New Roman" w:cs="Times New Roman"/>
          <w:bCs/>
          <w:iCs/>
          <w:sz w:val="24"/>
          <w:szCs w:val="24"/>
        </w:rPr>
        <w:t>• депата за отпадъци;</w:t>
      </w:r>
    </w:p>
    <w:p w14:paraId="1AC19A10" w14:textId="3BB1430F" w:rsidR="00242461" w:rsidRPr="0079326A" w:rsidRDefault="00242461" w:rsidP="00242461">
      <w:pPr>
        <w:spacing w:after="0" w:line="276" w:lineRule="auto"/>
        <w:ind w:firstLine="709"/>
        <w:contextualSpacing/>
        <w:jc w:val="both"/>
        <w:rPr>
          <w:rFonts w:ascii="Times New Roman" w:eastAsia="Calibri" w:hAnsi="Times New Roman" w:cs="Times New Roman"/>
          <w:bCs/>
          <w:iCs/>
          <w:sz w:val="24"/>
          <w:szCs w:val="24"/>
        </w:rPr>
      </w:pPr>
      <w:r w:rsidRPr="00242461">
        <w:rPr>
          <w:rFonts w:ascii="Times New Roman" w:eastAsia="Calibri" w:hAnsi="Times New Roman" w:cs="Times New Roman"/>
          <w:bCs/>
          <w:iCs/>
          <w:sz w:val="24"/>
          <w:szCs w:val="24"/>
        </w:rPr>
        <w:t>• минна дейност.</w:t>
      </w:r>
    </w:p>
    <w:p w14:paraId="298D63A5" w14:textId="787B1A2A" w:rsidR="00A07290" w:rsidRDefault="0079326A" w:rsidP="00D641CE">
      <w:pPr>
        <w:spacing w:after="0" w:line="276" w:lineRule="auto"/>
        <w:ind w:firstLine="709"/>
        <w:contextualSpacing/>
        <w:jc w:val="both"/>
        <w:rPr>
          <w:rFonts w:ascii="Times New Roman" w:hAnsi="Times New Roman" w:cs="Times New Roman"/>
          <w:sz w:val="24"/>
          <w:szCs w:val="24"/>
        </w:rPr>
      </w:pPr>
      <w:r w:rsidRPr="0079326A">
        <w:rPr>
          <w:rFonts w:ascii="Times New Roman" w:hAnsi="Times New Roman" w:cs="Times New Roman"/>
          <w:noProof/>
          <w:sz w:val="24"/>
          <w:szCs w:val="24"/>
          <w:lang w:eastAsia="bg-BG"/>
        </w:rPr>
        <w:drawing>
          <wp:inline distT="0" distB="0" distL="0" distR="0" wp14:anchorId="25A7B632" wp14:editId="437F580F">
            <wp:extent cx="5943600" cy="4809490"/>
            <wp:effectExtent l="0" t="0" r="0" b="0"/>
            <wp:docPr id="2064704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704686" name=""/>
                    <pic:cNvPicPr/>
                  </pic:nvPicPr>
                  <pic:blipFill>
                    <a:blip r:embed="rId19"/>
                    <a:stretch>
                      <a:fillRect/>
                    </a:stretch>
                  </pic:blipFill>
                  <pic:spPr>
                    <a:xfrm>
                      <a:off x="0" y="0"/>
                      <a:ext cx="5943600" cy="4809490"/>
                    </a:xfrm>
                    <a:prstGeom prst="rect">
                      <a:avLst/>
                    </a:prstGeom>
                  </pic:spPr>
                </pic:pic>
              </a:graphicData>
            </a:graphic>
          </wp:inline>
        </w:drawing>
      </w:r>
    </w:p>
    <w:p w14:paraId="5A6035F9" w14:textId="44232793" w:rsidR="0079326A" w:rsidRPr="00A07290" w:rsidRDefault="0079326A" w:rsidP="0079326A">
      <w:pPr>
        <w:spacing w:after="0" w:line="276" w:lineRule="auto"/>
        <w:ind w:firstLine="709"/>
        <w:contextualSpacing/>
        <w:jc w:val="both"/>
        <w:rPr>
          <w:rFonts w:ascii="Times New Roman" w:eastAsia="Calibri" w:hAnsi="Times New Roman" w:cs="Times New Roman"/>
          <w:bCs/>
          <w:iCs/>
          <w:sz w:val="24"/>
          <w:szCs w:val="24"/>
        </w:rPr>
      </w:pPr>
      <w:r w:rsidRPr="001F77C5">
        <w:rPr>
          <w:rFonts w:ascii="Times New Roman" w:eastAsia="Calibri" w:hAnsi="Times New Roman" w:cs="Times New Roman"/>
          <w:b/>
          <w:iCs/>
          <w:sz w:val="24"/>
          <w:szCs w:val="24"/>
        </w:rPr>
        <w:t>Фигура 2.1.</w:t>
      </w:r>
      <w:r>
        <w:rPr>
          <w:rFonts w:ascii="Times New Roman" w:eastAsia="Calibri" w:hAnsi="Times New Roman" w:cs="Times New Roman"/>
          <w:b/>
          <w:iCs/>
          <w:sz w:val="24"/>
          <w:szCs w:val="24"/>
        </w:rPr>
        <w:t>4</w:t>
      </w:r>
      <w:r w:rsidRPr="001F77C5">
        <w:rPr>
          <w:rFonts w:ascii="Times New Roman" w:eastAsia="Calibri" w:hAnsi="Times New Roman" w:cs="Times New Roman"/>
          <w:b/>
          <w:iCs/>
          <w:sz w:val="24"/>
          <w:szCs w:val="24"/>
        </w:rPr>
        <w:t>-</w:t>
      </w:r>
      <w:r>
        <w:rPr>
          <w:rFonts w:ascii="Times New Roman" w:eastAsia="Calibri" w:hAnsi="Times New Roman" w:cs="Times New Roman"/>
          <w:b/>
          <w:iCs/>
          <w:sz w:val="24"/>
          <w:szCs w:val="24"/>
        </w:rPr>
        <w:t>2</w:t>
      </w:r>
      <w:r w:rsidRPr="001F77C5">
        <w:rPr>
          <w:rFonts w:ascii="Times New Roman" w:eastAsia="Calibri" w:hAnsi="Times New Roman" w:cs="Times New Roman"/>
          <w:b/>
          <w:iCs/>
          <w:sz w:val="24"/>
          <w:szCs w:val="24"/>
        </w:rPr>
        <w:t>.</w:t>
      </w:r>
      <w:r w:rsidRPr="00A07290">
        <w:t xml:space="preserve"> </w:t>
      </w:r>
      <w:r>
        <w:rPr>
          <w:rFonts w:ascii="Times New Roman" w:eastAsia="Calibri" w:hAnsi="Times New Roman" w:cs="Times New Roman"/>
          <w:bCs/>
          <w:iCs/>
          <w:sz w:val="24"/>
          <w:szCs w:val="24"/>
        </w:rPr>
        <w:t>Химично</w:t>
      </w:r>
      <w:r w:rsidRPr="00A07290">
        <w:rPr>
          <w:rFonts w:ascii="Times New Roman" w:eastAsia="Calibri" w:hAnsi="Times New Roman" w:cs="Times New Roman"/>
          <w:bCs/>
          <w:iCs/>
          <w:sz w:val="24"/>
          <w:szCs w:val="24"/>
        </w:rPr>
        <w:t xml:space="preserve"> състояние на подземните водни тела в Западнобеломорски район</w:t>
      </w:r>
    </w:p>
    <w:p w14:paraId="4D420FE4" w14:textId="77777777" w:rsidR="006846FF" w:rsidRDefault="006846FF" w:rsidP="00D641CE">
      <w:pPr>
        <w:spacing w:after="0" w:line="276" w:lineRule="auto"/>
        <w:ind w:firstLine="709"/>
        <w:contextualSpacing/>
        <w:jc w:val="both"/>
        <w:rPr>
          <w:rFonts w:ascii="Times New Roman" w:hAnsi="Times New Roman" w:cs="Times New Roman"/>
          <w:sz w:val="24"/>
          <w:szCs w:val="24"/>
        </w:rPr>
      </w:pPr>
    </w:p>
    <w:p w14:paraId="69272103" w14:textId="77777777" w:rsidR="00482099" w:rsidRDefault="00482099" w:rsidP="00D641CE">
      <w:pPr>
        <w:spacing w:after="0" w:line="276" w:lineRule="auto"/>
        <w:ind w:firstLine="709"/>
        <w:contextualSpacing/>
        <w:jc w:val="both"/>
        <w:rPr>
          <w:rFonts w:ascii="Times New Roman" w:hAnsi="Times New Roman" w:cs="Times New Roman"/>
          <w:sz w:val="24"/>
          <w:szCs w:val="24"/>
        </w:rPr>
      </w:pPr>
    </w:p>
    <w:p w14:paraId="14CF2C47" w14:textId="022B17CD" w:rsidR="006846FF" w:rsidRPr="00087391" w:rsidRDefault="006846FF" w:rsidP="00D641CE">
      <w:pPr>
        <w:spacing w:after="0" w:line="276" w:lineRule="auto"/>
        <w:ind w:firstLine="709"/>
        <w:contextualSpacing/>
        <w:jc w:val="both"/>
        <w:rPr>
          <w:rFonts w:ascii="Times New Roman" w:hAnsi="Times New Roman" w:cs="Times New Roman"/>
          <w:b/>
          <w:bCs/>
          <w:i/>
          <w:iCs/>
          <w:sz w:val="24"/>
          <w:szCs w:val="24"/>
        </w:rPr>
      </w:pPr>
      <w:r w:rsidRPr="00087391">
        <w:rPr>
          <w:rFonts w:ascii="Times New Roman" w:hAnsi="Times New Roman" w:cs="Times New Roman"/>
          <w:b/>
          <w:bCs/>
          <w:i/>
          <w:iCs/>
          <w:sz w:val="24"/>
          <w:szCs w:val="24"/>
        </w:rPr>
        <w:lastRenderedPageBreak/>
        <w:t>Източнобеломорски район</w:t>
      </w:r>
    </w:p>
    <w:p w14:paraId="496791DF" w14:textId="4242BD94" w:rsidR="00482099" w:rsidRDefault="00482099" w:rsidP="00482099">
      <w:pPr>
        <w:spacing w:after="0" w:line="276" w:lineRule="auto"/>
        <w:ind w:firstLine="709"/>
        <w:contextualSpacing/>
        <w:jc w:val="both"/>
        <w:rPr>
          <w:rFonts w:ascii="Times New Roman" w:hAnsi="Times New Roman" w:cs="Times New Roman"/>
          <w:sz w:val="24"/>
          <w:szCs w:val="24"/>
        </w:rPr>
      </w:pPr>
      <w:r w:rsidRPr="002906B7">
        <w:rPr>
          <w:rFonts w:ascii="Times New Roman" w:hAnsi="Times New Roman" w:cs="Times New Roman"/>
          <w:sz w:val="24"/>
          <w:szCs w:val="24"/>
        </w:rPr>
        <w:t>В ПУРБ 2022-2027</w:t>
      </w:r>
      <w:r>
        <w:rPr>
          <w:rFonts w:ascii="Times New Roman" w:hAnsi="Times New Roman" w:cs="Times New Roman"/>
          <w:sz w:val="24"/>
          <w:szCs w:val="24"/>
        </w:rPr>
        <w:t xml:space="preserve"> г. </w:t>
      </w:r>
      <w:r w:rsidRPr="002906B7">
        <w:rPr>
          <w:rFonts w:ascii="Times New Roman" w:hAnsi="Times New Roman" w:cs="Times New Roman"/>
          <w:sz w:val="24"/>
          <w:szCs w:val="24"/>
        </w:rPr>
        <w:t xml:space="preserve">броят на подземните водни тела е </w:t>
      </w:r>
      <w:r>
        <w:rPr>
          <w:rFonts w:ascii="Times New Roman" w:hAnsi="Times New Roman" w:cs="Times New Roman"/>
          <w:sz w:val="24"/>
          <w:szCs w:val="24"/>
        </w:rPr>
        <w:t>41</w:t>
      </w:r>
      <w:r w:rsidRPr="002906B7">
        <w:rPr>
          <w:rFonts w:ascii="Times New Roman" w:hAnsi="Times New Roman" w:cs="Times New Roman"/>
          <w:sz w:val="24"/>
          <w:szCs w:val="24"/>
        </w:rPr>
        <w:t>.</w:t>
      </w:r>
    </w:p>
    <w:p w14:paraId="396E4408" w14:textId="77777777" w:rsidR="00BA5725" w:rsidRPr="00BA5725" w:rsidRDefault="00BA5725" w:rsidP="00BA5725">
      <w:pPr>
        <w:spacing w:after="0" w:line="276" w:lineRule="auto"/>
        <w:ind w:firstLine="709"/>
        <w:contextualSpacing/>
        <w:jc w:val="both"/>
        <w:rPr>
          <w:rFonts w:ascii="Times New Roman" w:hAnsi="Times New Roman" w:cs="Times New Roman"/>
          <w:sz w:val="24"/>
          <w:szCs w:val="24"/>
        </w:rPr>
      </w:pPr>
      <w:r w:rsidRPr="00BA5725">
        <w:rPr>
          <w:rFonts w:ascii="Times New Roman" w:hAnsi="Times New Roman" w:cs="Times New Roman"/>
          <w:sz w:val="24"/>
          <w:szCs w:val="24"/>
        </w:rPr>
        <w:t>В лошо химично състояние са 10 броя ПВТ, като основните замърсители са: нитрати, фосфати, амониеви йони, обща алфа-активност, сулфати.</w:t>
      </w:r>
    </w:p>
    <w:p w14:paraId="5634C517" w14:textId="77777777" w:rsidR="00BA5725" w:rsidRPr="00BA5725" w:rsidRDefault="00BA5725" w:rsidP="00BA5725">
      <w:pPr>
        <w:spacing w:after="0" w:line="276" w:lineRule="auto"/>
        <w:ind w:firstLine="709"/>
        <w:contextualSpacing/>
        <w:jc w:val="both"/>
        <w:rPr>
          <w:rFonts w:ascii="Times New Roman" w:hAnsi="Times New Roman" w:cs="Times New Roman"/>
          <w:sz w:val="24"/>
          <w:szCs w:val="24"/>
        </w:rPr>
      </w:pPr>
      <w:r w:rsidRPr="00BA5725">
        <w:rPr>
          <w:rFonts w:ascii="Times New Roman" w:hAnsi="Times New Roman" w:cs="Times New Roman"/>
          <w:sz w:val="24"/>
          <w:szCs w:val="24"/>
        </w:rPr>
        <w:t>Седем подземни водни тела са класифицирани в лошо химично състояние, като нитратите са най-честият замърсител в ПВТ: BG3G000000Q012, BG3G00000NQ015, BG3G00000NQ054, BG3G0000PGN019, BG3G0000PGN026, BG3G0000T13035 и BG3G0PZ K2PG027.</w:t>
      </w:r>
    </w:p>
    <w:p w14:paraId="2910C03F" w14:textId="4179E98F" w:rsidR="00087391" w:rsidRDefault="00BA5725" w:rsidP="00BA5725">
      <w:pPr>
        <w:spacing w:after="0" w:line="276" w:lineRule="auto"/>
        <w:ind w:firstLine="709"/>
        <w:contextualSpacing/>
        <w:jc w:val="both"/>
        <w:rPr>
          <w:rFonts w:ascii="Times New Roman" w:hAnsi="Times New Roman" w:cs="Times New Roman"/>
          <w:sz w:val="24"/>
          <w:szCs w:val="24"/>
        </w:rPr>
      </w:pPr>
      <w:r w:rsidRPr="00BA5725">
        <w:rPr>
          <w:rFonts w:ascii="Times New Roman" w:hAnsi="Times New Roman" w:cs="Times New Roman"/>
          <w:sz w:val="24"/>
          <w:szCs w:val="24"/>
        </w:rPr>
        <w:t>Другите три подземни водни тела, класифицирани в лошо химично състояние: BG3G00000NQ009 и BG3G00000NQ018 - имат проблеми с качеството, свързани с общата алфа активност, докато ПВТ BG3G00000NQ007 има превишения на фосфати (като ортофосфати).</w:t>
      </w:r>
    </w:p>
    <w:p w14:paraId="1B4A0895" w14:textId="275FB353" w:rsidR="00087391" w:rsidRDefault="00BA5725" w:rsidP="00BA5725">
      <w:pPr>
        <w:spacing w:after="0" w:line="276" w:lineRule="auto"/>
        <w:contextualSpacing/>
        <w:jc w:val="both"/>
        <w:rPr>
          <w:rFonts w:ascii="Times New Roman" w:hAnsi="Times New Roman" w:cs="Times New Roman"/>
          <w:sz w:val="24"/>
          <w:szCs w:val="24"/>
        </w:rPr>
      </w:pPr>
      <w:r w:rsidRPr="00BA5725">
        <w:rPr>
          <w:rFonts w:ascii="Times New Roman" w:hAnsi="Times New Roman" w:cs="Times New Roman"/>
          <w:noProof/>
          <w:sz w:val="24"/>
          <w:szCs w:val="24"/>
          <w:lang w:eastAsia="bg-BG"/>
        </w:rPr>
        <w:drawing>
          <wp:inline distT="0" distB="0" distL="0" distR="0" wp14:anchorId="1D6F50D8" wp14:editId="56BBF257">
            <wp:extent cx="5943600" cy="2449195"/>
            <wp:effectExtent l="0" t="0" r="0" b="8255"/>
            <wp:docPr id="716443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443594" name=""/>
                    <pic:cNvPicPr/>
                  </pic:nvPicPr>
                  <pic:blipFill>
                    <a:blip r:embed="rId20"/>
                    <a:stretch>
                      <a:fillRect/>
                    </a:stretch>
                  </pic:blipFill>
                  <pic:spPr>
                    <a:xfrm>
                      <a:off x="0" y="0"/>
                      <a:ext cx="5943600" cy="2449195"/>
                    </a:xfrm>
                    <a:prstGeom prst="rect">
                      <a:avLst/>
                    </a:prstGeom>
                  </pic:spPr>
                </pic:pic>
              </a:graphicData>
            </a:graphic>
          </wp:inline>
        </w:drawing>
      </w:r>
    </w:p>
    <w:p w14:paraId="0ADD2A7F" w14:textId="1344E321" w:rsidR="006846FF" w:rsidRDefault="00BA5725" w:rsidP="00D641CE">
      <w:pPr>
        <w:spacing w:after="0" w:line="276" w:lineRule="auto"/>
        <w:ind w:firstLine="709"/>
        <w:contextualSpacing/>
        <w:jc w:val="both"/>
        <w:rPr>
          <w:rFonts w:ascii="Times New Roman" w:hAnsi="Times New Roman" w:cs="Times New Roman"/>
          <w:sz w:val="24"/>
          <w:szCs w:val="24"/>
        </w:rPr>
      </w:pPr>
      <w:r w:rsidRPr="00BA5725">
        <w:rPr>
          <w:rFonts w:ascii="Times New Roman" w:hAnsi="Times New Roman" w:cs="Times New Roman"/>
          <w:b/>
          <w:bCs/>
          <w:sz w:val="24"/>
          <w:szCs w:val="24"/>
        </w:rPr>
        <w:t>Таблица 2.1.4-1.</w:t>
      </w:r>
      <w:r>
        <w:rPr>
          <w:rFonts w:ascii="Times New Roman" w:hAnsi="Times New Roman" w:cs="Times New Roman"/>
          <w:sz w:val="24"/>
          <w:szCs w:val="24"/>
        </w:rPr>
        <w:t xml:space="preserve"> Химично състояние на ПВТ в ИБР</w:t>
      </w:r>
    </w:p>
    <w:p w14:paraId="7BBD23D8" w14:textId="58932944" w:rsidR="00BA5725" w:rsidRDefault="00346811" w:rsidP="00D641CE">
      <w:pPr>
        <w:spacing w:after="0" w:line="276" w:lineRule="auto"/>
        <w:ind w:firstLine="709"/>
        <w:contextualSpacing/>
        <w:jc w:val="both"/>
        <w:rPr>
          <w:rFonts w:ascii="Times New Roman" w:hAnsi="Times New Roman" w:cs="Times New Roman"/>
          <w:sz w:val="24"/>
          <w:szCs w:val="24"/>
        </w:rPr>
      </w:pPr>
      <w:r w:rsidRPr="00346811">
        <w:rPr>
          <w:rFonts w:ascii="Times New Roman" w:hAnsi="Times New Roman" w:cs="Times New Roman"/>
          <w:sz w:val="24"/>
          <w:szCs w:val="24"/>
        </w:rPr>
        <w:t>По балансовия метод всички 41 подземни водни тела са в добро количествено състояние.</w:t>
      </w:r>
    </w:p>
    <w:p w14:paraId="47BB8C54" w14:textId="77777777" w:rsidR="00346811" w:rsidRDefault="00346811" w:rsidP="00346811">
      <w:pPr>
        <w:spacing w:after="0" w:line="276" w:lineRule="auto"/>
        <w:ind w:firstLine="709"/>
        <w:jc w:val="both"/>
        <w:rPr>
          <w:rFonts w:ascii="Times New Roman" w:eastAsia="Calibri" w:hAnsi="Times New Roman" w:cs="Times New Roman"/>
          <w:b/>
          <w:i/>
          <w:iCs/>
          <w:sz w:val="24"/>
          <w:szCs w:val="24"/>
        </w:rPr>
      </w:pPr>
    </w:p>
    <w:p w14:paraId="24040CBC" w14:textId="4A696103" w:rsidR="00346811" w:rsidRPr="00482099" w:rsidRDefault="00346811" w:rsidP="00346811">
      <w:pPr>
        <w:spacing w:after="0" w:line="276" w:lineRule="auto"/>
        <w:ind w:firstLine="709"/>
        <w:jc w:val="both"/>
        <w:rPr>
          <w:rFonts w:ascii="Times New Roman" w:eastAsia="Calibri" w:hAnsi="Times New Roman" w:cs="Times New Roman"/>
          <w:b/>
          <w:i/>
          <w:iCs/>
          <w:sz w:val="24"/>
          <w:szCs w:val="24"/>
        </w:rPr>
      </w:pPr>
      <w:r w:rsidRPr="00482099">
        <w:rPr>
          <w:rFonts w:ascii="Times New Roman" w:eastAsia="Calibri" w:hAnsi="Times New Roman" w:cs="Times New Roman"/>
          <w:b/>
          <w:i/>
          <w:iCs/>
          <w:sz w:val="24"/>
          <w:szCs w:val="24"/>
        </w:rPr>
        <w:t>Черноморски район</w:t>
      </w:r>
    </w:p>
    <w:p w14:paraId="0B577248" w14:textId="4D365410" w:rsidR="00376B8D" w:rsidRDefault="00376B8D" w:rsidP="00376B8D">
      <w:pPr>
        <w:spacing w:after="0" w:line="276" w:lineRule="auto"/>
        <w:ind w:firstLine="709"/>
        <w:contextualSpacing/>
        <w:jc w:val="both"/>
        <w:rPr>
          <w:rFonts w:ascii="Times New Roman" w:hAnsi="Times New Roman" w:cs="Times New Roman"/>
          <w:sz w:val="24"/>
          <w:szCs w:val="24"/>
        </w:rPr>
      </w:pPr>
      <w:r w:rsidRPr="002906B7">
        <w:rPr>
          <w:rFonts w:ascii="Times New Roman" w:hAnsi="Times New Roman" w:cs="Times New Roman"/>
          <w:sz w:val="24"/>
          <w:szCs w:val="24"/>
        </w:rPr>
        <w:t>В ПУРБ 2022-2027</w:t>
      </w:r>
      <w:r>
        <w:rPr>
          <w:rFonts w:ascii="Times New Roman" w:hAnsi="Times New Roman" w:cs="Times New Roman"/>
          <w:sz w:val="24"/>
          <w:szCs w:val="24"/>
        </w:rPr>
        <w:t xml:space="preserve"> г. </w:t>
      </w:r>
      <w:r w:rsidRPr="002906B7">
        <w:rPr>
          <w:rFonts w:ascii="Times New Roman" w:hAnsi="Times New Roman" w:cs="Times New Roman"/>
          <w:sz w:val="24"/>
          <w:szCs w:val="24"/>
        </w:rPr>
        <w:t xml:space="preserve">броят на подземните водни тела е </w:t>
      </w:r>
      <w:r>
        <w:rPr>
          <w:rFonts w:ascii="Times New Roman" w:hAnsi="Times New Roman" w:cs="Times New Roman"/>
          <w:sz w:val="24"/>
          <w:szCs w:val="24"/>
        </w:rPr>
        <w:t>4</w:t>
      </w:r>
      <w:r w:rsidRPr="002906B7">
        <w:rPr>
          <w:rFonts w:ascii="Times New Roman" w:hAnsi="Times New Roman" w:cs="Times New Roman"/>
          <w:sz w:val="24"/>
          <w:szCs w:val="24"/>
        </w:rPr>
        <w:t>0</w:t>
      </w:r>
      <w:r>
        <w:rPr>
          <w:rFonts w:ascii="Times New Roman" w:hAnsi="Times New Roman" w:cs="Times New Roman"/>
          <w:sz w:val="24"/>
          <w:szCs w:val="24"/>
        </w:rPr>
        <w:t xml:space="preserve">, от които </w:t>
      </w:r>
      <w:r w:rsidRPr="00376B8D">
        <w:rPr>
          <w:rFonts w:ascii="Times New Roman" w:hAnsi="Times New Roman" w:cs="Times New Roman"/>
          <w:sz w:val="24"/>
          <w:szCs w:val="24"/>
        </w:rPr>
        <w:t>31 водни тела са в добро химично състояние и 9 са в лошо химично състояние.</w:t>
      </w:r>
      <w:r w:rsidR="007F5B09" w:rsidRPr="007F5B09">
        <w:t xml:space="preserve"> </w:t>
      </w:r>
      <w:r w:rsidR="007F5B09" w:rsidRPr="007F5B09">
        <w:rPr>
          <w:rFonts w:ascii="Times New Roman" w:hAnsi="Times New Roman" w:cs="Times New Roman"/>
          <w:sz w:val="24"/>
          <w:szCs w:val="24"/>
        </w:rPr>
        <w:t>Лошото химично състояние на ПВТ се дължи главно на селскостопанския натиск, натискът от градските отпадъчни води, индустриален натиск, както и на устойчивостта на ПВТ към подобряване на качеството след натиск от проникване на солена вода, което се е случило в миналото.</w:t>
      </w:r>
    </w:p>
    <w:p w14:paraId="1CEBF5DD" w14:textId="69E95EE6" w:rsidR="007F5B09" w:rsidRPr="002906B7" w:rsidRDefault="007F5B09" w:rsidP="00376B8D">
      <w:pPr>
        <w:spacing w:after="0"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w:t>
      </w:r>
      <w:r w:rsidRPr="007F5B09">
        <w:rPr>
          <w:rFonts w:ascii="Times New Roman" w:hAnsi="Times New Roman" w:cs="Times New Roman"/>
          <w:sz w:val="24"/>
          <w:szCs w:val="24"/>
        </w:rPr>
        <w:t>сички 40 подземни водни тела са в добро количествено състояние.</w:t>
      </w:r>
    </w:p>
    <w:p w14:paraId="38B1B939" w14:textId="77777777" w:rsidR="00346811" w:rsidRDefault="00346811" w:rsidP="00D641CE">
      <w:pPr>
        <w:spacing w:after="0" w:line="276" w:lineRule="auto"/>
        <w:ind w:firstLine="709"/>
        <w:contextualSpacing/>
        <w:jc w:val="both"/>
        <w:rPr>
          <w:rFonts w:ascii="Times New Roman" w:hAnsi="Times New Roman" w:cs="Times New Roman"/>
          <w:sz w:val="24"/>
          <w:szCs w:val="24"/>
        </w:rPr>
      </w:pPr>
    </w:p>
    <w:p w14:paraId="18BBDA9C" w14:textId="5F4A6BDB" w:rsidR="00242577" w:rsidRPr="00242577" w:rsidRDefault="00242577" w:rsidP="00242577">
      <w:pPr>
        <w:spacing w:after="0" w:line="276" w:lineRule="auto"/>
        <w:ind w:firstLine="709"/>
        <w:jc w:val="both"/>
        <w:rPr>
          <w:rFonts w:ascii="Times New Roman" w:hAnsi="Times New Roman" w:cs="Times New Roman"/>
          <w:i/>
          <w:sz w:val="24"/>
          <w:szCs w:val="24"/>
        </w:rPr>
      </w:pPr>
      <w:r w:rsidRPr="00242577">
        <w:rPr>
          <w:rFonts w:ascii="Times New Roman" w:eastAsia="Calibri" w:hAnsi="Times New Roman" w:cs="Times New Roman"/>
          <w:i/>
          <w:sz w:val="24"/>
          <w:szCs w:val="24"/>
        </w:rPr>
        <w:t xml:space="preserve">Предвид, че водите са един от основните компоненти на околната среда и те се засягат от изпълнението на различни икономически дейности, в т.ч. от </w:t>
      </w:r>
      <w:r>
        <w:rPr>
          <w:rFonts w:ascii="Times New Roman" w:eastAsia="Calibri" w:hAnsi="Times New Roman" w:cs="Times New Roman"/>
          <w:i/>
          <w:sz w:val="24"/>
          <w:szCs w:val="24"/>
        </w:rPr>
        <w:t>енергийните проекти</w:t>
      </w:r>
      <w:r w:rsidRPr="00242577">
        <w:rPr>
          <w:rFonts w:ascii="Times New Roman" w:eastAsia="Calibri" w:hAnsi="Times New Roman" w:cs="Times New Roman"/>
          <w:i/>
          <w:sz w:val="24"/>
          <w:szCs w:val="24"/>
        </w:rPr>
        <w:t xml:space="preserve">, в Доклада за екологична оценка този компонент ще бъде разгледан подробно, </w:t>
      </w:r>
      <w:r w:rsidRPr="00242577">
        <w:rPr>
          <w:rFonts w:ascii="Times New Roman" w:hAnsi="Times New Roman" w:cs="Times New Roman"/>
          <w:i/>
          <w:sz w:val="24"/>
          <w:szCs w:val="24"/>
        </w:rPr>
        <w:lastRenderedPageBreak/>
        <w:t>като ще бъде представена информация за химичното и количествено състояние на подземните води, групирана по Басейнови дирекции.</w:t>
      </w:r>
    </w:p>
    <w:p w14:paraId="4520DC9A" w14:textId="77777777" w:rsidR="00242577" w:rsidRPr="002906B7" w:rsidRDefault="00242577" w:rsidP="00D641CE">
      <w:pPr>
        <w:spacing w:after="0" w:line="276" w:lineRule="auto"/>
        <w:ind w:firstLine="709"/>
        <w:contextualSpacing/>
        <w:jc w:val="both"/>
        <w:rPr>
          <w:rFonts w:ascii="Times New Roman" w:hAnsi="Times New Roman" w:cs="Times New Roman"/>
          <w:sz w:val="24"/>
          <w:szCs w:val="24"/>
        </w:rPr>
      </w:pPr>
    </w:p>
    <w:p w14:paraId="3CF75345" w14:textId="77777777" w:rsidR="000E0DAB" w:rsidRPr="001F77C5" w:rsidRDefault="00DE3EBD" w:rsidP="004F15F5">
      <w:pPr>
        <w:pStyle w:val="Heading5"/>
        <w:numPr>
          <w:ilvl w:val="2"/>
          <w:numId w:val="8"/>
        </w:numPr>
        <w:spacing w:line="276" w:lineRule="auto"/>
        <w:ind w:left="0" w:firstLine="709"/>
        <w:jc w:val="both"/>
        <w:rPr>
          <w:rFonts w:ascii="Times New Roman" w:hAnsi="Times New Roman" w:cs="Times New Roman"/>
          <w:b/>
          <w:i/>
          <w:color w:val="auto"/>
          <w:sz w:val="24"/>
        </w:rPr>
      </w:pPr>
      <w:r w:rsidRPr="001F77C5">
        <w:rPr>
          <w:rFonts w:ascii="Times New Roman" w:hAnsi="Times New Roman" w:cs="Times New Roman"/>
          <w:b/>
          <w:i/>
          <w:color w:val="auto"/>
          <w:sz w:val="24"/>
        </w:rPr>
        <w:t>Състояние на з</w:t>
      </w:r>
      <w:r w:rsidR="0093446B" w:rsidRPr="001F77C5">
        <w:rPr>
          <w:rFonts w:ascii="Times New Roman" w:hAnsi="Times New Roman" w:cs="Times New Roman"/>
          <w:b/>
          <w:i/>
          <w:color w:val="auto"/>
          <w:sz w:val="24"/>
        </w:rPr>
        <w:t>емни</w:t>
      </w:r>
      <w:r w:rsidRPr="001F77C5">
        <w:rPr>
          <w:rFonts w:ascii="Times New Roman" w:hAnsi="Times New Roman" w:cs="Times New Roman"/>
          <w:b/>
          <w:i/>
          <w:color w:val="auto"/>
          <w:sz w:val="24"/>
        </w:rPr>
        <w:t>те</w:t>
      </w:r>
      <w:r w:rsidR="0093446B" w:rsidRPr="001F77C5">
        <w:rPr>
          <w:rFonts w:ascii="Times New Roman" w:hAnsi="Times New Roman" w:cs="Times New Roman"/>
          <w:b/>
          <w:i/>
          <w:color w:val="auto"/>
          <w:sz w:val="24"/>
        </w:rPr>
        <w:t xml:space="preserve"> недра</w:t>
      </w:r>
      <w:r w:rsidR="000E0DAB" w:rsidRPr="001F77C5">
        <w:rPr>
          <w:rFonts w:ascii="Times New Roman" w:hAnsi="Times New Roman" w:cs="Times New Roman"/>
          <w:b/>
          <w:i/>
          <w:color w:val="auto"/>
          <w:sz w:val="24"/>
        </w:rPr>
        <w:t xml:space="preserve"> </w:t>
      </w:r>
    </w:p>
    <w:p w14:paraId="7742628B" w14:textId="77777777" w:rsidR="001F77C5" w:rsidRPr="001F77C5" w:rsidRDefault="001F77C5" w:rsidP="001F77C5">
      <w:pPr>
        <w:widowControl w:val="0"/>
        <w:spacing w:after="60" w:line="276" w:lineRule="auto"/>
        <w:ind w:firstLine="720"/>
        <w:jc w:val="both"/>
        <w:rPr>
          <w:rFonts w:ascii="Times New Roman" w:eastAsia="Cambria" w:hAnsi="Times New Roman" w:cs="Times New Roman"/>
          <w:color w:val="000000"/>
          <w:sz w:val="24"/>
          <w:szCs w:val="24"/>
          <w:lang w:eastAsia="bg-BG" w:bidi="bg-BG"/>
        </w:rPr>
      </w:pPr>
      <w:r w:rsidRPr="001F77C5">
        <w:rPr>
          <w:rFonts w:ascii="Times New Roman" w:eastAsia="Cambria" w:hAnsi="Times New Roman" w:cs="Times New Roman"/>
          <w:color w:val="000000"/>
          <w:sz w:val="24"/>
          <w:szCs w:val="24"/>
          <w:lang w:eastAsia="bg-BG" w:bidi="bg-BG"/>
        </w:rPr>
        <w:t>Съвременният природногеографски облик на територията на България е плод на продължително и сложно развитие, началото на което е поставено в геоложкото минало. Основните форми на релефа са се образували при действието на нагъвателните, разседните, вулканските и седиментационните процеси, особено през последния неотектонски етап от развитието на територията на страната. В България са разпространени трите основни вида скали с различен произход и възраст – магмени (масивни), седиментни и метаморфни.</w:t>
      </w:r>
    </w:p>
    <w:p w14:paraId="48CB5E97" w14:textId="77777777" w:rsidR="00B97055" w:rsidRPr="006A1106" w:rsidRDefault="00B97055" w:rsidP="00B97055">
      <w:pPr>
        <w:spacing w:before="120" w:after="0" w:line="276" w:lineRule="auto"/>
        <w:ind w:firstLine="720"/>
        <w:contextualSpacing/>
        <w:jc w:val="both"/>
        <w:rPr>
          <w:rFonts w:ascii="Times New Roman" w:eastAsia="Calibri" w:hAnsi="Times New Roman" w:cs="Times New Roman"/>
          <w:sz w:val="24"/>
          <w:szCs w:val="24"/>
        </w:rPr>
      </w:pPr>
      <w:r w:rsidRPr="006A1106">
        <w:rPr>
          <w:rFonts w:ascii="Times New Roman" w:eastAsia="Calibri" w:hAnsi="Times New Roman" w:cs="Times New Roman"/>
          <w:sz w:val="24"/>
          <w:szCs w:val="24"/>
        </w:rPr>
        <w:t>Релефът на България е формиран вследствие на сложното и продължително палеогеографско развитие. Територията на страната е част от Алпо-Хималайския орегонен пояс, което обуславя запад-източната посока на основните линии на релефа и простирането на едрите морфографски единици.</w:t>
      </w:r>
    </w:p>
    <w:p w14:paraId="3CF89681" w14:textId="77777777" w:rsidR="00B97055" w:rsidRPr="006A1106" w:rsidRDefault="00B97055" w:rsidP="00B97055">
      <w:pPr>
        <w:spacing w:before="120" w:after="0" w:line="276" w:lineRule="auto"/>
        <w:ind w:firstLine="720"/>
        <w:contextualSpacing/>
        <w:jc w:val="both"/>
        <w:rPr>
          <w:rFonts w:ascii="Times New Roman" w:eastAsia="Calibri" w:hAnsi="Times New Roman" w:cs="Times New Roman"/>
          <w:sz w:val="24"/>
          <w:szCs w:val="24"/>
        </w:rPr>
      </w:pPr>
      <w:r w:rsidRPr="006A1106">
        <w:rPr>
          <w:rFonts w:ascii="Times New Roman" w:eastAsia="Calibri" w:hAnsi="Times New Roman" w:cs="Times New Roman"/>
          <w:sz w:val="24"/>
          <w:szCs w:val="24"/>
        </w:rPr>
        <w:t xml:space="preserve">България попада върху 3 морфотектонски единици от първи порядък – Мизийска епиплатформена равнина, Балканидна младонагъната епигеосинклинална зона и Тракийски (Македоно-Родопски) срединен планински масив. </w:t>
      </w:r>
    </w:p>
    <w:p w14:paraId="27B2AFED" w14:textId="77777777" w:rsidR="00B97055" w:rsidRPr="006A1106" w:rsidRDefault="00B97055" w:rsidP="00B97055">
      <w:pPr>
        <w:spacing w:before="120" w:after="0" w:line="276" w:lineRule="auto"/>
        <w:ind w:firstLine="720"/>
        <w:contextualSpacing/>
        <w:jc w:val="both"/>
        <w:rPr>
          <w:rFonts w:ascii="Times New Roman" w:eastAsia="Calibri" w:hAnsi="Times New Roman" w:cs="Times New Roman"/>
          <w:sz w:val="24"/>
          <w:szCs w:val="24"/>
        </w:rPr>
      </w:pPr>
      <w:r w:rsidRPr="006A1106">
        <w:rPr>
          <w:rFonts w:ascii="Times New Roman" w:eastAsia="Calibri" w:hAnsi="Times New Roman" w:cs="Times New Roman"/>
          <w:sz w:val="24"/>
          <w:szCs w:val="24"/>
        </w:rPr>
        <w:t xml:space="preserve">Релефът на всяка морфоструктурна единица се отличава със специфичния си стил, орографски план, морфометрия и историко-геоложко развитие. </w:t>
      </w:r>
    </w:p>
    <w:p w14:paraId="0D13E181" w14:textId="77777777" w:rsidR="00B97055" w:rsidRPr="006A1106" w:rsidRDefault="00B97055" w:rsidP="00B97055">
      <w:pPr>
        <w:spacing w:before="120" w:after="0" w:line="276" w:lineRule="auto"/>
        <w:ind w:firstLine="720"/>
        <w:contextualSpacing/>
        <w:jc w:val="both"/>
        <w:rPr>
          <w:rFonts w:ascii="Times New Roman" w:eastAsia="Calibri" w:hAnsi="Times New Roman" w:cs="Times New Roman"/>
          <w:sz w:val="24"/>
          <w:szCs w:val="24"/>
        </w:rPr>
      </w:pPr>
      <w:r w:rsidRPr="006A1106">
        <w:rPr>
          <w:rFonts w:ascii="Times New Roman" w:eastAsia="Calibri" w:hAnsi="Times New Roman" w:cs="Times New Roman"/>
          <w:sz w:val="24"/>
          <w:szCs w:val="24"/>
        </w:rPr>
        <w:t>Голямата сложност и разнообразие в тектонския строеж и геоморфоложките условия, значителната пъстрота в петрографският състав на скалите и претърпените от тях промени са допринесли за голямото разнообразие в инженерно-геоложките условия на страната.</w:t>
      </w:r>
    </w:p>
    <w:p w14:paraId="4EBED380" w14:textId="77777777" w:rsidR="00B97055" w:rsidRPr="006A1106" w:rsidRDefault="00B97055" w:rsidP="00B97055">
      <w:pPr>
        <w:spacing w:before="120" w:after="0" w:line="276" w:lineRule="auto"/>
        <w:ind w:firstLine="720"/>
        <w:contextualSpacing/>
        <w:jc w:val="both"/>
        <w:rPr>
          <w:rFonts w:ascii="Times New Roman" w:eastAsia="Calibri" w:hAnsi="Times New Roman" w:cs="Times New Roman"/>
          <w:sz w:val="24"/>
          <w:szCs w:val="24"/>
        </w:rPr>
      </w:pPr>
      <w:r w:rsidRPr="006A1106">
        <w:rPr>
          <w:rFonts w:ascii="Times New Roman" w:eastAsia="Calibri" w:hAnsi="Times New Roman" w:cs="Times New Roman"/>
          <w:sz w:val="24"/>
          <w:szCs w:val="24"/>
        </w:rPr>
        <w:t>Съгласно съществуващото инженерногеоложко райониране на България са обособени 5 региона и дванадесет инженерногеоложки области:</w:t>
      </w:r>
    </w:p>
    <w:p w14:paraId="09C4B3D7" w14:textId="77777777" w:rsidR="00B97055" w:rsidRPr="006A1106" w:rsidRDefault="00B97055" w:rsidP="004F15F5">
      <w:pPr>
        <w:pStyle w:val="ListParagraph"/>
        <w:numPr>
          <w:ilvl w:val="0"/>
          <w:numId w:val="10"/>
        </w:numPr>
        <w:spacing w:before="120" w:after="0" w:line="276" w:lineRule="auto"/>
        <w:jc w:val="both"/>
        <w:rPr>
          <w:rFonts w:ascii="Times New Roman" w:hAnsi="Times New Roman" w:cs="Times New Roman"/>
          <w:sz w:val="24"/>
          <w:szCs w:val="24"/>
        </w:rPr>
      </w:pPr>
      <w:r w:rsidRPr="006A1106">
        <w:rPr>
          <w:rFonts w:ascii="Times New Roman" w:hAnsi="Times New Roman" w:cs="Times New Roman"/>
          <w:b/>
          <w:sz w:val="24"/>
          <w:szCs w:val="24"/>
        </w:rPr>
        <w:t>Мизийски регион</w:t>
      </w:r>
      <w:r w:rsidRPr="006A1106">
        <w:rPr>
          <w:rFonts w:ascii="Times New Roman" w:hAnsi="Times New Roman" w:cs="Times New Roman"/>
          <w:sz w:val="24"/>
          <w:szCs w:val="24"/>
        </w:rPr>
        <w:t xml:space="preserve">: </w:t>
      </w:r>
    </w:p>
    <w:p w14:paraId="5A33E684" w14:textId="77777777" w:rsidR="00B97055" w:rsidRPr="006A1106" w:rsidRDefault="00B97055" w:rsidP="004F15F5">
      <w:pPr>
        <w:pStyle w:val="ListParagraph"/>
        <w:numPr>
          <w:ilvl w:val="0"/>
          <w:numId w:val="11"/>
        </w:numPr>
        <w:spacing w:before="120" w:after="0" w:line="276" w:lineRule="auto"/>
        <w:jc w:val="both"/>
        <w:rPr>
          <w:rFonts w:ascii="Times New Roman" w:hAnsi="Times New Roman" w:cs="Times New Roman"/>
          <w:sz w:val="24"/>
          <w:szCs w:val="24"/>
        </w:rPr>
      </w:pPr>
      <w:r w:rsidRPr="006A1106">
        <w:rPr>
          <w:rFonts w:ascii="Times New Roman" w:hAnsi="Times New Roman" w:cs="Times New Roman"/>
          <w:sz w:val="24"/>
          <w:szCs w:val="24"/>
        </w:rPr>
        <w:t xml:space="preserve">Ломска; </w:t>
      </w:r>
      <w:r w:rsidRPr="006A1106">
        <w:rPr>
          <w:rFonts w:ascii="Times New Roman" w:hAnsi="Times New Roman" w:cs="Times New Roman"/>
          <w:sz w:val="24"/>
          <w:szCs w:val="24"/>
        </w:rPr>
        <w:tab/>
      </w:r>
    </w:p>
    <w:p w14:paraId="141F44A0" w14:textId="77777777" w:rsidR="00B97055" w:rsidRPr="006A1106" w:rsidRDefault="00B97055" w:rsidP="004F15F5">
      <w:pPr>
        <w:pStyle w:val="ListParagraph"/>
        <w:numPr>
          <w:ilvl w:val="0"/>
          <w:numId w:val="11"/>
        </w:numPr>
        <w:spacing w:before="120" w:after="0" w:line="276" w:lineRule="auto"/>
        <w:jc w:val="both"/>
        <w:rPr>
          <w:rFonts w:ascii="Times New Roman" w:hAnsi="Times New Roman" w:cs="Times New Roman"/>
          <w:sz w:val="24"/>
          <w:szCs w:val="24"/>
        </w:rPr>
      </w:pPr>
      <w:r w:rsidRPr="006A1106">
        <w:rPr>
          <w:rFonts w:ascii="Times New Roman" w:hAnsi="Times New Roman" w:cs="Times New Roman"/>
          <w:sz w:val="24"/>
          <w:szCs w:val="24"/>
        </w:rPr>
        <w:t xml:space="preserve">Лудогорско-Добруджанска и </w:t>
      </w:r>
      <w:r w:rsidRPr="006A1106">
        <w:rPr>
          <w:rFonts w:ascii="Times New Roman" w:hAnsi="Times New Roman" w:cs="Times New Roman"/>
          <w:sz w:val="24"/>
          <w:szCs w:val="24"/>
        </w:rPr>
        <w:tab/>
      </w:r>
    </w:p>
    <w:p w14:paraId="0E986C78" w14:textId="77777777" w:rsidR="00B97055" w:rsidRPr="006A1106" w:rsidRDefault="00B97055" w:rsidP="004F15F5">
      <w:pPr>
        <w:pStyle w:val="ListParagraph"/>
        <w:numPr>
          <w:ilvl w:val="0"/>
          <w:numId w:val="11"/>
        </w:numPr>
        <w:spacing w:before="120" w:after="0" w:line="276" w:lineRule="auto"/>
        <w:jc w:val="both"/>
        <w:rPr>
          <w:rFonts w:ascii="Times New Roman" w:hAnsi="Times New Roman" w:cs="Times New Roman"/>
          <w:sz w:val="24"/>
          <w:szCs w:val="24"/>
        </w:rPr>
      </w:pPr>
      <w:r w:rsidRPr="006A1106">
        <w:rPr>
          <w:rFonts w:ascii="Times New Roman" w:hAnsi="Times New Roman" w:cs="Times New Roman"/>
          <w:sz w:val="24"/>
          <w:szCs w:val="24"/>
        </w:rPr>
        <w:t>Причерноморска</w:t>
      </w:r>
    </w:p>
    <w:p w14:paraId="0885EFDE" w14:textId="77777777" w:rsidR="00B97055" w:rsidRPr="006A1106" w:rsidRDefault="00B97055" w:rsidP="004F15F5">
      <w:pPr>
        <w:pStyle w:val="ListParagraph"/>
        <w:numPr>
          <w:ilvl w:val="0"/>
          <w:numId w:val="10"/>
        </w:numPr>
        <w:spacing w:before="120" w:after="0" w:line="276" w:lineRule="auto"/>
        <w:jc w:val="both"/>
        <w:rPr>
          <w:rFonts w:ascii="Times New Roman" w:hAnsi="Times New Roman" w:cs="Times New Roman"/>
          <w:b/>
          <w:sz w:val="24"/>
          <w:szCs w:val="24"/>
        </w:rPr>
      </w:pPr>
      <w:r w:rsidRPr="006A1106">
        <w:rPr>
          <w:rFonts w:ascii="Times New Roman" w:hAnsi="Times New Roman" w:cs="Times New Roman"/>
          <w:b/>
          <w:sz w:val="24"/>
          <w:szCs w:val="24"/>
        </w:rPr>
        <w:t>Балканиден</w:t>
      </w:r>
      <w:r w:rsidRPr="006A1106">
        <w:rPr>
          <w:rFonts w:ascii="Times New Roman" w:hAnsi="Times New Roman" w:cs="Times New Roman"/>
          <w:b/>
          <w:sz w:val="24"/>
          <w:szCs w:val="24"/>
        </w:rPr>
        <w:tab/>
        <w:t>регион</w:t>
      </w:r>
    </w:p>
    <w:p w14:paraId="154FDAF0" w14:textId="77777777" w:rsidR="00B97055" w:rsidRPr="006A1106" w:rsidRDefault="00B97055" w:rsidP="004F15F5">
      <w:pPr>
        <w:pStyle w:val="ListParagraph"/>
        <w:numPr>
          <w:ilvl w:val="0"/>
          <w:numId w:val="11"/>
        </w:numPr>
        <w:spacing w:before="120" w:after="0" w:line="276" w:lineRule="auto"/>
        <w:jc w:val="both"/>
        <w:rPr>
          <w:rFonts w:ascii="Times New Roman" w:hAnsi="Times New Roman" w:cs="Times New Roman"/>
          <w:sz w:val="24"/>
          <w:szCs w:val="24"/>
        </w:rPr>
      </w:pPr>
      <w:r w:rsidRPr="006A1106">
        <w:rPr>
          <w:rFonts w:ascii="Times New Roman" w:hAnsi="Times New Roman" w:cs="Times New Roman"/>
          <w:sz w:val="24"/>
          <w:szCs w:val="24"/>
        </w:rPr>
        <w:t>Предбалканска</w:t>
      </w:r>
    </w:p>
    <w:p w14:paraId="338EE103" w14:textId="77777777" w:rsidR="00B97055" w:rsidRPr="006A1106" w:rsidRDefault="00B97055" w:rsidP="004F15F5">
      <w:pPr>
        <w:pStyle w:val="ListParagraph"/>
        <w:numPr>
          <w:ilvl w:val="0"/>
          <w:numId w:val="11"/>
        </w:numPr>
        <w:spacing w:before="120" w:after="0" w:line="276" w:lineRule="auto"/>
        <w:jc w:val="both"/>
        <w:rPr>
          <w:rFonts w:ascii="Times New Roman" w:hAnsi="Times New Roman" w:cs="Times New Roman"/>
          <w:sz w:val="24"/>
          <w:szCs w:val="24"/>
        </w:rPr>
      </w:pPr>
      <w:r w:rsidRPr="006A1106">
        <w:rPr>
          <w:rFonts w:ascii="Times New Roman" w:hAnsi="Times New Roman" w:cs="Times New Roman"/>
          <w:sz w:val="24"/>
          <w:szCs w:val="24"/>
        </w:rPr>
        <w:tab/>
        <w:t>Старопланинска</w:t>
      </w:r>
    </w:p>
    <w:p w14:paraId="0B5AEFEF" w14:textId="77777777" w:rsidR="00B97055" w:rsidRPr="006A1106" w:rsidRDefault="00B97055" w:rsidP="004F15F5">
      <w:pPr>
        <w:pStyle w:val="ListParagraph"/>
        <w:numPr>
          <w:ilvl w:val="0"/>
          <w:numId w:val="11"/>
        </w:numPr>
        <w:spacing w:before="120" w:after="0" w:line="276" w:lineRule="auto"/>
        <w:jc w:val="both"/>
        <w:rPr>
          <w:rFonts w:ascii="Times New Roman" w:hAnsi="Times New Roman" w:cs="Times New Roman"/>
          <w:sz w:val="24"/>
          <w:szCs w:val="24"/>
        </w:rPr>
      </w:pPr>
      <w:r w:rsidRPr="006A1106">
        <w:rPr>
          <w:rFonts w:ascii="Times New Roman" w:hAnsi="Times New Roman" w:cs="Times New Roman"/>
          <w:sz w:val="24"/>
          <w:szCs w:val="24"/>
        </w:rPr>
        <w:tab/>
        <w:t>Средногорска</w:t>
      </w:r>
    </w:p>
    <w:p w14:paraId="3AB34E02" w14:textId="77777777" w:rsidR="00B97055" w:rsidRPr="006A1106" w:rsidRDefault="00B97055" w:rsidP="004F15F5">
      <w:pPr>
        <w:pStyle w:val="ListParagraph"/>
        <w:numPr>
          <w:ilvl w:val="0"/>
          <w:numId w:val="11"/>
        </w:numPr>
        <w:spacing w:before="120" w:after="0" w:line="276" w:lineRule="auto"/>
        <w:jc w:val="both"/>
        <w:rPr>
          <w:rFonts w:ascii="Times New Roman" w:hAnsi="Times New Roman" w:cs="Times New Roman"/>
          <w:sz w:val="24"/>
          <w:szCs w:val="24"/>
        </w:rPr>
      </w:pPr>
      <w:r w:rsidRPr="006A1106">
        <w:rPr>
          <w:rFonts w:ascii="Times New Roman" w:hAnsi="Times New Roman" w:cs="Times New Roman"/>
          <w:sz w:val="24"/>
          <w:szCs w:val="24"/>
        </w:rPr>
        <w:tab/>
        <w:t>Междупланонски котловини</w:t>
      </w:r>
    </w:p>
    <w:p w14:paraId="0BC486AF" w14:textId="77777777" w:rsidR="00B97055" w:rsidRPr="006A1106" w:rsidRDefault="00B97055" w:rsidP="004F15F5">
      <w:pPr>
        <w:pStyle w:val="ListParagraph"/>
        <w:numPr>
          <w:ilvl w:val="0"/>
          <w:numId w:val="10"/>
        </w:numPr>
        <w:spacing w:before="120" w:after="0" w:line="276" w:lineRule="auto"/>
        <w:jc w:val="both"/>
        <w:rPr>
          <w:rFonts w:ascii="Times New Roman" w:hAnsi="Times New Roman" w:cs="Times New Roman"/>
          <w:b/>
          <w:sz w:val="24"/>
          <w:szCs w:val="24"/>
        </w:rPr>
      </w:pPr>
      <w:r w:rsidRPr="006A1106">
        <w:rPr>
          <w:rFonts w:ascii="Times New Roman" w:hAnsi="Times New Roman" w:cs="Times New Roman"/>
          <w:b/>
          <w:sz w:val="24"/>
          <w:szCs w:val="24"/>
        </w:rPr>
        <w:t>Рило-Родопски регион</w:t>
      </w:r>
      <w:r w:rsidRPr="006A1106">
        <w:rPr>
          <w:rFonts w:ascii="Times New Roman" w:hAnsi="Times New Roman" w:cs="Times New Roman"/>
          <w:b/>
          <w:sz w:val="24"/>
          <w:szCs w:val="24"/>
        </w:rPr>
        <w:tab/>
      </w:r>
    </w:p>
    <w:p w14:paraId="0D6FA6E4" w14:textId="77777777" w:rsidR="00B97055" w:rsidRPr="006A1106" w:rsidRDefault="00B97055" w:rsidP="004F15F5">
      <w:pPr>
        <w:pStyle w:val="ListParagraph"/>
        <w:numPr>
          <w:ilvl w:val="0"/>
          <w:numId w:val="11"/>
        </w:numPr>
        <w:spacing w:before="120" w:after="0" w:line="276" w:lineRule="auto"/>
        <w:jc w:val="both"/>
        <w:rPr>
          <w:rFonts w:ascii="Times New Roman" w:hAnsi="Times New Roman" w:cs="Times New Roman"/>
          <w:sz w:val="24"/>
          <w:szCs w:val="24"/>
        </w:rPr>
      </w:pPr>
      <w:r w:rsidRPr="006A1106">
        <w:rPr>
          <w:rFonts w:ascii="Times New Roman" w:hAnsi="Times New Roman" w:cs="Times New Roman"/>
          <w:sz w:val="24"/>
          <w:szCs w:val="24"/>
        </w:rPr>
        <w:t>Западна Високопланинска</w:t>
      </w:r>
    </w:p>
    <w:p w14:paraId="0F623EF7" w14:textId="77777777" w:rsidR="00B97055" w:rsidRPr="006A1106" w:rsidRDefault="00B97055" w:rsidP="004F15F5">
      <w:pPr>
        <w:pStyle w:val="ListParagraph"/>
        <w:numPr>
          <w:ilvl w:val="0"/>
          <w:numId w:val="11"/>
        </w:numPr>
        <w:spacing w:before="120" w:after="0" w:line="276" w:lineRule="auto"/>
        <w:jc w:val="both"/>
        <w:rPr>
          <w:rFonts w:ascii="Times New Roman" w:hAnsi="Times New Roman" w:cs="Times New Roman"/>
          <w:sz w:val="24"/>
          <w:szCs w:val="24"/>
        </w:rPr>
      </w:pPr>
      <w:r w:rsidRPr="006A1106">
        <w:rPr>
          <w:rFonts w:ascii="Times New Roman" w:hAnsi="Times New Roman" w:cs="Times New Roman"/>
          <w:sz w:val="24"/>
          <w:szCs w:val="24"/>
        </w:rPr>
        <w:tab/>
        <w:t>Източнородопска</w:t>
      </w:r>
    </w:p>
    <w:p w14:paraId="47163DCE" w14:textId="77777777" w:rsidR="00B97055" w:rsidRPr="006A1106" w:rsidRDefault="00B97055" w:rsidP="004F15F5">
      <w:pPr>
        <w:pStyle w:val="ListParagraph"/>
        <w:numPr>
          <w:ilvl w:val="0"/>
          <w:numId w:val="10"/>
        </w:numPr>
        <w:spacing w:before="120" w:after="0" w:line="276" w:lineRule="auto"/>
        <w:jc w:val="both"/>
        <w:rPr>
          <w:rFonts w:ascii="Times New Roman" w:hAnsi="Times New Roman" w:cs="Times New Roman"/>
          <w:b/>
          <w:sz w:val="24"/>
          <w:szCs w:val="24"/>
        </w:rPr>
      </w:pPr>
      <w:r w:rsidRPr="006A1106">
        <w:rPr>
          <w:rFonts w:ascii="Times New Roman" w:hAnsi="Times New Roman" w:cs="Times New Roman"/>
          <w:b/>
          <w:sz w:val="24"/>
          <w:szCs w:val="24"/>
        </w:rPr>
        <w:t>Странджански регион</w:t>
      </w:r>
      <w:r w:rsidRPr="006A1106">
        <w:rPr>
          <w:rFonts w:ascii="Times New Roman" w:hAnsi="Times New Roman" w:cs="Times New Roman"/>
          <w:b/>
          <w:sz w:val="24"/>
          <w:szCs w:val="24"/>
        </w:rPr>
        <w:tab/>
      </w:r>
    </w:p>
    <w:p w14:paraId="3B4DEAE4" w14:textId="77777777" w:rsidR="00B97055" w:rsidRPr="006A1106" w:rsidRDefault="00B97055" w:rsidP="004F15F5">
      <w:pPr>
        <w:pStyle w:val="ListParagraph"/>
        <w:numPr>
          <w:ilvl w:val="0"/>
          <w:numId w:val="11"/>
        </w:numPr>
        <w:spacing w:before="120" w:after="0" w:line="276" w:lineRule="auto"/>
        <w:jc w:val="both"/>
        <w:rPr>
          <w:rFonts w:ascii="Times New Roman" w:hAnsi="Times New Roman" w:cs="Times New Roman"/>
          <w:sz w:val="24"/>
          <w:szCs w:val="24"/>
        </w:rPr>
      </w:pPr>
      <w:r w:rsidRPr="006A1106">
        <w:rPr>
          <w:rFonts w:ascii="Times New Roman" w:hAnsi="Times New Roman" w:cs="Times New Roman"/>
          <w:sz w:val="24"/>
          <w:szCs w:val="24"/>
        </w:rPr>
        <w:t>Страндажанска</w:t>
      </w:r>
    </w:p>
    <w:p w14:paraId="37390B9D" w14:textId="77777777" w:rsidR="00B97055" w:rsidRPr="006A1106" w:rsidRDefault="00B97055" w:rsidP="004F15F5">
      <w:pPr>
        <w:pStyle w:val="ListParagraph"/>
        <w:numPr>
          <w:ilvl w:val="0"/>
          <w:numId w:val="10"/>
        </w:numPr>
        <w:spacing w:before="120" w:after="0" w:line="276" w:lineRule="auto"/>
        <w:jc w:val="both"/>
        <w:rPr>
          <w:rFonts w:ascii="Times New Roman" w:hAnsi="Times New Roman" w:cs="Times New Roman"/>
          <w:b/>
          <w:sz w:val="24"/>
          <w:szCs w:val="24"/>
        </w:rPr>
      </w:pPr>
      <w:r w:rsidRPr="006A1106">
        <w:rPr>
          <w:rFonts w:ascii="Times New Roman" w:hAnsi="Times New Roman" w:cs="Times New Roman"/>
          <w:b/>
          <w:sz w:val="24"/>
          <w:szCs w:val="24"/>
        </w:rPr>
        <w:lastRenderedPageBreak/>
        <w:t>Краищиден</w:t>
      </w:r>
      <w:r w:rsidRPr="006A1106">
        <w:rPr>
          <w:rFonts w:ascii="Times New Roman" w:hAnsi="Times New Roman" w:cs="Times New Roman"/>
          <w:b/>
          <w:sz w:val="24"/>
          <w:szCs w:val="24"/>
        </w:rPr>
        <w:tab/>
      </w:r>
    </w:p>
    <w:p w14:paraId="227F5742" w14:textId="77777777" w:rsidR="00B97055" w:rsidRPr="006A1106" w:rsidRDefault="00B97055" w:rsidP="004F15F5">
      <w:pPr>
        <w:pStyle w:val="ListParagraph"/>
        <w:numPr>
          <w:ilvl w:val="0"/>
          <w:numId w:val="11"/>
        </w:numPr>
        <w:spacing w:before="120" w:after="0" w:line="276" w:lineRule="auto"/>
        <w:jc w:val="both"/>
        <w:rPr>
          <w:rFonts w:ascii="Times New Roman" w:hAnsi="Times New Roman" w:cs="Times New Roman"/>
          <w:sz w:val="24"/>
          <w:szCs w:val="24"/>
        </w:rPr>
      </w:pPr>
      <w:r w:rsidRPr="006A1106">
        <w:rPr>
          <w:rFonts w:ascii="Times New Roman" w:hAnsi="Times New Roman" w:cs="Times New Roman"/>
          <w:sz w:val="24"/>
          <w:szCs w:val="24"/>
        </w:rPr>
        <w:t>Краищенска</w:t>
      </w:r>
    </w:p>
    <w:p w14:paraId="0A4354EC" w14:textId="77777777" w:rsidR="00B97055" w:rsidRPr="006A1106" w:rsidRDefault="00B97055" w:rsidP="004F15F5">
      <w:pPr>
        <w:pStyle w:val="ListParagraph"/>
        <w:numPr>
          <w:ilvl w:val="0"/>
          <w:numId w:val="11"/>
        </w:numPr>
        <w:spacing w:before="120" w:after="0" w:line="276" w:lineRule="auto"/>
        <w:jc w:val="both"/>
        <w:rPr>
          <w:rFonts w:ascii="Times New Roman" w:hAnsi="Times New Roman" w:cs="Times New Roman"/>
          <w:sz w:val="24"/>
          <w:szCs w:val="24"/>
        </w:rPr>
      </w:pPr>
      <w:r w:rsidRPr="006A1106">
        <w:rPr>
          <w:rFonts w:ascii="Times New Roman" w:hAnsi="Times New Roman" w:cs="Times New Roman"/>
          <w:sz w:val="24"/>
          <w:szCs w:val="24"/>
        </w:rPr>
        <w:tab/>
        <w:t>Горнотракийска</w:t>
      </w:r>
    </w:p>
    <w:p w14:paraId="541DA252" w14:textId="77777777" w:rsidR="00B97055" w:rsidRPr="006A1106" w:rsidRDefault="00B97055" w:rsidP="00B97055">
      <w:pPr>
        <w:spacing w:before="120" w:after="0" w:line="276" w:lineRule="auto"/>
        <w:ind w:firstLine="720"/>
        <w:contextualSpacing/>
        <w:jc w:val="both"/>
        <w:rPr>
          <w:rFonts w:ascii="Times New Roman" w:eastAsia="Calibri" w:hAnsi="Times New Roman" w:cs="Times New Roman"/>
          <w:sz w:val="24"/>
          <w:szCs w:val="24"/>
        </w:rPr>
      </w:pPr>
      <w:r w:rsidRPr="006A1106">
        <w:rPr>
          <w:rFonts w:ascii="Times New Roman" w:eastAsia="Calibri" w:hAnsi="Times New Roman" w:cs="Times New Roman"/>
          <w:sz w:val="24"/>
          <w:szCs w:val="24"/>
        </w:rPr>
        <w:t xml:space="preserve">Различните геоложки структури и геоложкия риск, следващ от естествените физикогеоложки и/или техногенни процеси са основен фактор при взимането на проектантските решения при изграждането на линейната сухоземна инфраструктура, както и на съоръжения към нея. </w:t>
      </w:r>
    </w:p>
    <w:p w14:paraId="0FE913A9" w14:textId="77777777" w:rsidR="00B97055" w:rsidRPr="006A1106" w:rsidRDefault="00B97055" w:rsidP="00B97055">
      <w:pPr>
        <w:spacing w:before="120" w:after="0" w:line="276" w:lineRule="auto"/>
        <w:ind w:firstLine="720"/>
        <w:contextualSpacing/>
        <w:jc w:val="both"/>
        <w:rPr>
          <w:rFonts w:ascii="Times New Roman" w:eastAsia="Calibri" w:hAnsi="Times New Roman" w:cs="Times New Roman"/>
          <w:sz w:val="24"/>
          <w:szCs w:val="24"/>
        </w:rPr>
      </w:pPr>
      <w:r w:rsidRPr="006A1106">
        <w:rPr>
          <w:rFonts w:ascii="Times New Roman" w:eastAsia="Calibri" w:hAnsi="Times New Roman" w:cs="Times New Roman"/>
          <w:sz w:val="24"/>
          <w:szCs w:val="24"/>
        </w:rPr>
        <w:t xml:space="preserve">От физико-геоложките явления решаващо значение за нашата страна имат речната и овражна ерозия, свлачищата, срутищата, обрушванията, пропадането и сеизмичността. </w:t>
      </w:r>
    </w:p>
    <w:p w14:paraId="7BA3F523" w14:textId="77777777" w:rsidR="00B97055" w:rsidRPr="006A1106" w:rsidRDefault="00B97055" w:rsidP="00B97055">
      <w:pPr>
        <w:spacing w:before="120" w:after="0" w:line="276" w:lineRule="auto"/>
        <w:ind w:firstLine="720"/>
        <w:contextualSpacing/>
        <w:jc w:val="both"/>
        <w:rPr>
          <w:rFonts w:ascii="Times New Roman" w:eastAsia="Calibri" w:hAnsi="Times New Roman" w:cs="Times New Roman"/>
          <w:sz w:val="24"/>
          <w:szCs w:val="24"/>
        </w:rPr>
      </w:pPr>
      <w:r w:rsidRPr="006A1106">
        <w:rPr>
          <w:rFonts w:ascii="Times New Roman" w:eastAsia="Calibri" w:hAnsi="Times New Roman" w:cs="Times New Roman"/>
          <w:sz w:val="24"/>
          <w:szCs w:val="24"/>
        </w:rPr>
        <w:t>Разрушителните процеси могат да бъдат разделени като такива с внезапно действие или периодично активизиране, такива с непрекъснато действие, както и процеси с непрекъснато действие, водещи до внезапни явления</w:t>
      </w:r>
      <w:r w:rsidR="001D2E5D" w:rsidRPr="006A1106">
        <w:rPr>
          <w:rFonts w:ascii="Times New Roman" w:eastAsia="Calibri" w:hAnsi="Times New Roman" w:cs="Times New Roman"/>
          <w:sz w:val="24"/>
          <w:szCs w:val="24"/>
        </w:rPr>
        <w:t>.</w:t>
      </w:r>
    </w:p>
    <w:p w14:paraId="5C002923" w14:textId="77777777" w:rsidR="00B97055" w:rsidRPr="006A1106" w:rsidRDefault="00B97055" w:rsidP="00B97055">
      <w:pPr>
        <w:spacing w:before="120" w:after="0" w:line="276" w:lineRule="auto"/>
        <w:ind w:firstLine="720"/>
        <w:contextualSpacing/>
        <w:jc w:val="both"/>
        <w:rPr>
          <w:rFonts w:ascii="Times New Roman" w:eastAsia="Calibri" w:hAnsi="Times New Roman" w:cs="Times New Roman"/>
          <w:sz w:val="24"/>
          <w:szCs w:val="24"/>
        </w:rPr>
      </w:pPr>
      <w:r w:rsidRPr="006A1106">
        <w:rPr>
          <w:rFonts w:ascii="Times New Roman" w:eastAsia="Calibri" w:hAnsi="Times New Roman" w:cs="Times New Roman"/>
          <w:sz w:val="24"/>
          <w:szCs w:val="24"/>
        </w:rPr>
        <w:t>Най-често срещани разрушителни про</w:t>
      </w:r>
      <w:r w:rsidR="00E640C3" w:rsidRPr="006A1106">
        <w:rPr>
          <w:rFonts w:ascii="Times New Roman" w:eastAsia="Calibri" w:hAnsi="Times New Roman" w:cs="Times New Roman"/>
          <w:sz w:val="24"/>
          <w:szCs w:val="24"/>
        </w:rPr>
        <w:t>цеси</w:t>
      </w:r>
      <w:r w:rsidRPr="006A1106">
        <w:rPr>
          <w:rFonts w:ascii="Times New Roman" w:eastAsia="Calibri" w:hAnsi="Times New Roman" w:cs="Times New Roman"/>
          <w:sz w:val="24"/>
          <w:szCs w:val="24"/>
        </w:rPr>
        <w:t xml:space="preserve"> и явления са : </w:t>
      </w:r>
    </w:p>
    <w:p w14:paraId="0D371370" w14:textId="77777777" w:rsidR="00B97055" w:rsidRPr="006A1106" w:rsidRDefault="00B97055" w:rsidP="00B97055">
      <w:pPr>
        <w:spacing w:before="120" w:after="0" w:line="276" w:lineRule="auto"/>
        <w:ind w:firstLine="709"/>
        <w:jc w:val="both"/>
        <w:rPr>
          <w:rFonts w:ascii="Times New Roman" w:hAnsi="Times New Roman" w:cs="Times New Roman"/>
          <w:b/>
          <w:i/>
          <w:sz w:val="24"/>
          <w:szCs w:val="24"/>
        </w:rPr>
      </w:pPr>
      <w:r w:rsidRPr="006A1106">
        <w:rPr>
          <w:rFonts w:ascii="Times New Roman" w:hAnsi="Times New Roman" w:cs="Times New Roman"/>
          <w:b/>
          <w:i/>
          <w:sz w:val="24"/>
          <w:szCs w:val="24"/>
        </w:rPr>
        <w:t>Свлачища</w:t>
      </w:r>
    </w:p>
    <w:p w14:paraId="14F15C7F" w14:textId="77777777" w:rsidR="00B97055" w:rsidRPr="006A1106" w:rsidRDefault="00B97055" w:rsidP="00B97055">
      <w:pPr>
        <w:spacing w:before="120" w:after="0" w:line="276" w:lineRule="auto"/>
        <w:ind w:firstLine="720"/>
        <w:contextualSpacing/>
        <w:jc w:val="both"/>
        <w:rPr>
          <w:rFonts w:ascii="Times New Roman" w:eastAsia="Calibri" w:hAnsi="Times New Roman" w:cs="Times New Roman"/>
          <w:sz w:val="24"/>
          <w:szCs w:val="24"/>
        </w:rPr>
      </w:pPr>
      <w:r w:rsidRPr="006A1106">
        <w:rPr>
          <w:rFonts w:ascii="Times New Roman" w:eastAsia="Calibri" w:hAnsi="Times New Roman" w:cs="Times New Roman"/>
          <w:sz w:val="24"/>
          <w:szCs w:val="24"/>
        </w:rPr>
        <w:t>Свлачищата са един от основните елементи, формиращи геоложката опасност. Те са широко, но неравномерно проявени на територията на страната. В резултат на проявление на различни типове свлачища са засегнати множество участъци от пътната и жп инфраструктура</w:t>
      </w:r>
      <w:r w:rsidR="001D2E5D" w:rsidRPr="006A1106">
        <w:rPr>
          <w:rFonts w:ascii="Times New Roman" w:eastAsia="Calibri" w:hAnsi="Times New Roman" w:cs="Times New Roman"/>
          <w:sz w:val="24"/>
          <w:szCs w:val="24"/>
        </w:rPr>
        <w:t>.</w:t>
      </w:r>
    </w:p>
    <w:p w14:paraId="0A763F71" w14:textId="77777777" w:rsidR="00B97055" w:rsidRPr="006A1106" w:rsidRDefault="00B97055" w:rsidP="00B97055">
      <w:pPr>
        <w:spacing w:before="120" w:after="0" w:line="276" w:lineRule="auto"/>
        <w:ind w:firstLine="709"/>
        <w:jc w:val="both"/>
        <w:rPr>
          <w:rFonts w:ascii="Times New Roman" w:hAnsi="Times New Roman" w:cs="Times New Roman"/>
          <w:b/>
          <w:i/>
          <w:sz w:val="24"/>
          <w:szCs w:val="24"/>
        </w:rPr>
      </w:pPr>
      <w:r w:rsidRPr="006A1106">
        <w:rPr>
          <w:rFonts w:ascii="Times New Roman" w:hAnsi="Times New Roman" w:cs="Times New Roman"/>
          <w:b/>
          <w:i/>
          <w:sz w:val="24"/>
          <w:szCs w:val="24"/>
        </w:rPr>
        <w:t xml:space="preserve">Срутища </w:t>
      </w:r>
    </w:p>
    <w:p w14:paraId="756C9A94" w14:textId="77777777" w:rsidR="00B97055" w:rsidRPr="006A1106" w:rsidRDefault="00B97055" w:rsidP="00B97055">
      <w:pPr>
        <w:spacing w:before="120" w:after="0" w:line="276" w:lineRule="auto"/>
        <w:ind w:firstLine="720"/>
        <w:contextualSpacing/>
        <w:jc w:val="both"/>
        <w:rPr>
          <w:rFonts w:ascii="Times New Roman" w:eastAsia="Calibri" w:hAnsi="Times New Roman" w:cs="Times New Roman"/>
          <w:sz w:val="24"/>
          <w:szCs w:val="24"/>
        </w:rPr>
      </w:pPr>
      <w:r w:rsidRPr="006A1106">
        <w:rPr>
          <w:rFonts w:ascii="Times New Roman" w:eastAsia="Calibri" w:hAnsi="Times New Roman" w:cs="Times New Roman"/>
          <w:sz w:val="24"/>
          <w:szCs w:val="24"/>
        </w:rPr>
        <w:t xml:space="preserve">Проявяват се предимно в планински райони, по стръмни до отвесни склонове, като размерите им се обуславят от наклона, височината и напукаността на масива. Срутванията се дължат на различни фактори – изветряне, ерозия, абразия, обилни валежи и земетресения. </w:t>
      </w:r>
    </w:p>
    <w:p w14:paraId="6273195F" w14:textId="77777777" w:rsidR="00B97055" w:rsidRPr="006A1106" w:rsidRDefault="00B97055" w:rsidP="00B97055">
      <w:pPr>
        <w:spacing w:before="120" w:after="0" w:line="276" w:lineRule="auto"/>
        <w:ind w:firstLine="709"/>
        <w:jc w:val="both"/>
        <w:rPr>
          <w:rFonts w:ascii="Times New Roman" w:hAnsi="Times New Roman" w:cs="Times New Roman"/>
          <w:b/>
          <w:i/>
          <w:sz w:val="24"/>
          <w:szCs w:val="24"/>
        </w:rPr>
      </w:pPr>
      <w:r w:rsidRPr="006A1106">
        <w:rPr>
          <w:rFonts w:ascii="Times New Roman" w:hAnsi="Times New Roman" w:cs="Times New Roman"/>
          <w:b/>
          <w:i/>
          <w:sz w:val="24"/>
          <w:szCs w:val="24"/>
        </w:rPr>
        <w:t xml:space="preserve">Обрушвания </w:t>
      </w:r>
    </w:p>
    <w:p w14:paraId="74A14A38" w14:textId="77777777" w:rsidR="00B97055" w:rsidRPr="006A1106" w:rsidRDefault="00B97055" w:rsidP="00B97055">
      <w:pPr>
        <w:spacing w:before="120" w:after="0" w:line="276" w:lineRule="auto"/>
        <w:ind w:firstLine="720"/>
        <w:contextualSpacing/>
        <w:jc w:val="both"/>
        <w:rPr>
          <w:rFonts w:ascii="Times New Roman" w:eastAsia="Calibri" w:hAnsi="Times New Roman" w:cs="Times New Roman"/>
          <w:sz w:val="24"/>
          <w:szCs w:val="24"/>
        </w:rPr>
      </w:pPr>
      <w:r w:rsidRPr="006A1106">
        <w:rPr>
          <w:rFonts w:ascii="Times New Roman" w:eastAsia="Calibri" w:hAnsi="Times New Roman" w:cs="Times New Roman"/>
          <w:sz w:val="24"/>
          <w:szCs w:val="24"/>
        </w:rPr>
        <w:t xml:space="preserve">Обрушването на скалите е особено опасно явление за тунелното строителство. Обикновено това явление се предшества от повишен скален натиск, като особено  неблагоприятни са условията при преминаване на тектонски нарушения с наличие на подземни води. </w:t>
      </w:r>
    </w:p>
    <w:p w14:paraId="6AA93815" w14:textId="77777777" w:rsidR="00B97055" w:rsidRPr="006A1106" w:rsidRDefault="00B97055" w:rsidP="00B97055">
      <w:pPr>
        <w:spacing w:before="120" w:after="0" w:line="276" w:lineRule="auto"/>
        <w:ind w:firstLine="720"/>
        <w:contextualSpacing/>
        <w:jc w:val="both"/>
        <w:rPr>
          <w:rFonts w:ascii="Times New Roman" w:eastAsia="Calibri" w:hAnsi="Times New Roman" w:cs="Times New Roman"/>
          <w:sz w:val="24"/>
          <w:szCs w:val="24"/>
        </w:rPr>
      </w:pPr>
      <w:r w:rsidRPr="006A1106">
        <w:rPr>
          <w:rFonts w:ascii="Times New Roman" w:eastAsia="Calibri" w:hAnsi="Times New Roman" w:cs="Times New Roman"/>
          <w:sz w:val="24"/>
          <w:szCs w:val="24"/>
        </w:rPr>
        <w:t>Геодинамичните процеси и явления с непрекъснато действие, които имат пряко отношение към транспорта са:</w:t>
      </w:r>
    </w:p>
    <w:p w14:paraId="78D973A3" w14:textId="77777777" w:rsidR="00B97055" w:rsidRPr="006A1106" w:rsidRDefault="00B97055" w:rsidP="00B97055">
      <w:pPr>
        <w:spacing w:before="120" w:after="0" w:line="276" w:lineRule="auto"/>
        <w:ind w:firstLine="709"/>
        <w:jc w:val="both"/>
        <w:rPr>
          <w:rFonts w:ascii="Times New Roman" w:hAnsi="Times New Roman" w:cs="Times New Roman"/>
          <w:sz w:val="24"/>
          <w:szCs w:val="24"/>
        </w:rPr>
      </w:pPr>
      <w:r w:rsidRPr="006A1106">
        <w:rPr>
          <w:rFonts w:ascii="Times New Roman" w:hAnsi="Times New Roman" w:cs="Times New Roman"/>
          <w:b/>
          <w:i/>
          <w:sz w:val="24"/>
          <w:szCs w:val="24"/>
        </w:rPr>
        <w:t>Ерозионните процеси</w:t>
      </w:r>
      <w:r w:rsidRPr="006A1106">
        <w:rPr>
          <w:rFonts w:ascii="Times New Roman" w:hAnsi="Times New Roman" w:cs="Times New Roman"/>
          <w:sz w:val="24"/>
          <w:szCs w:val="24"/>
        </w:rPr>
        <w:t xml:space="preserve"> </w:t>
      </w:r>
    </w:p>
    <w:p w14:paraId="493637A4" w14:textId="77777777" w:rsidR="00B97055" w:rsidRPr="006A1106" w:rsidRDefault="00B97055" w:rsidP="00B97055">
      <w:pPr>
        <w:spacing w:before="120" w:after="0" w:line="276" w:lineRule="auto"/>
        <w:ind w:firstLine="720"/>
        <w:contextualSpacing/>
        <w:jc w:val="both"/>
        <w:rPr>
          <w:rFonts w:ascii="Times New Roman" w:eastAsia="Calibri" w:hAnsi="Times New Roman" w:cs="Times New Roman"/>
          <w:sz w:val="24"/>
          <w:szCs w:val="24"/>
        </w:rPr>
      </w:pPr>
      <w:r w:rsidRPr="006A1106">
        <w:rPr>
          <w:rFonts w:ascii="Times New Roman" w:eastAsia="Calibri" w:hAnsi="Times New Roman" w:cs="Times New Roman"/>
          <w:sz w:val="24"/>
          <w:szCs w:val="24"/>
        </w:rPr>
        <w:t xml:space="preserve">Ерозията е линейна и площна. </w:t>
      </w:r>
    </w:p>
    <w:p w14:paraId="40015922" w14:textId="77777777" w:rsidR="00B97055" w:rsidRPr="006A1106" w:rsidRDefault="00B97055" w:rsidP="00B97055">
      <w:pPr>
        <w:spacing w:before="120" w:after="0" w:line="276" w:lineRule="auto"/>
        <w:ind w:firstLine="720"/>
        <w:contextualSpacing/>
        <w:jc w:val="both"/>
        <w:rPr>
          <w:rFonts w:ascii="Times New Roman" w:eastAsia="Calibri" w:hAnsi="Times New Roman" w:cs="Times New Roman"/>
          <w:sz w:val="24"/>
          <w:szCs w:val="24"/>
        </w:rPr>
      </w:pPr>
      <w:r w:rsidRPr="006A1106">
        <w:rPr>
          <w:rFonts w:ascii="Times New Roman" w:eastAsia="Calibri" w:hAnsi="Times New Roman" w:cs="Times New Roman"/>
          <w:sz w:val="24"/>
          <w:szCs w:val="24"/>
        </w:rPr>
        <w:t xml:space="preserve">Площната е от значение за селското стопанство и няма отношение към </w:t>
      </w:r>
      <w:r w:rsidR="00E640C3" w:rsidRPr="006A1106">
        <w:rPr>
          <w:rFonts w:ascii="Times New Roman" w:eastAsia="Calibri" w:hAnsi="Times New Roman" w:cs="Times New Roman"/>
          <w:sz w:val="24"/>
          <w:szCs w:val="24"/>
        </w:rPr>
        <w:t>транспортната</w:t>
      </w:r>
      <w:r w:rsidRPr="006A1106">
        <w:rPr>
          <w:rFonts w:ascii="Times New Roman" w:eastAsia="Calibri" w:hAnsi="Times New Roman" w:cs="Times New Roman"/>
          <w:sz w:val="24"/>
          <w:szCs w:val="24"/>
        </w:rPr>
        <w:t xml:space="preserve"> инфраструктура. </w:t>
      </w:r>
    </w:p>
    <w:p w14:paraId="0EC53CEE" w14:textId="77777777" w:rsidR="00B97055" w:rsidRPr="006A1106" w:rsidRDefault="00B97055" w:rsidP="00B97055">
      <w:pPr>
        <w:spacing w:before="120" w:after="0" w:line="276" w:lineRule="auto"/>
        <w:ind w:firstLine="720"/>
        <w:contextualSpacing/>
        <w:jc w:val="both"/>
        <w:rPr>
          <w:rFonts w:ascii="Times New Roman" w:eastAsia="Calibri" w:hAnsi="Times New Roman" w:cs="Times New Roman"/>
          <w:sz w:val="24"/>
          <w:szCs w:val="24"/>
        </w:rPr>
      </w:pPr>
      <w:r w:rsidRPr="006A1106">
        <w:rPr>
          <w:rFonts w:ascii="Times New Roman" w:eastAsia="Calibri" w:hAnsi="Times New Roman" w:cs="Times New Roman"/>
          <w:sz w:val="24"/>
          <w:szCs w:val="24"/>
        </w:rPr>
        <w:t>Линейната ерозия е характерна за терени с наклон над 5-8° и засяга предимно алувиални и делувиални отложения</w:t>
      </w:r>
    </w:p>
    <w:p w14:paraId="3FBF2631" w14:textId="77777777" w:rsidR="00B97055" w:rsidRPr="006A1106" w:rsidRDefault="00B97055" w:rsidP="00B97055">
      <w:pPr>
        <w:spacing w:before="120" w:after="0" w:line="276" w:lineRule="auto"/>
        <w:ind w:firstLine="720"/>
        <w:contextualSpacing/>
        <w:jc w:val="both"/>
        <w:rPr>
          <w:rFonts w:ascii="Times New Roman" w:eastAsia="Calibri" w:hAnsi="Times New Roman" w:cs="Times New Roman"/>
          <w:sz w:val="24"/>
          <w:szCs w:val="24"/>
        </w:rPr>
      </w:pPr>
      <w:r w:rsidRPr="006A1106">
        <w:rPr>
          <w:rFonts w:ascii="Times New Roman" w:eastAsia="Calibri" w:hAnsi="Times New Roman" w:cs="Times New Roman"/>
          <w:sz w:val="24"/>
          <w:szCs w:val="24"/>
        </w:rPr>
        <w:t xml:space="preserve">Ерозията е вследствие рушителната дейност на реките, а формите които се създават са ерозионните форми. </w:t>
      </w:r>
    </w:p>
    <w:p w14:paraId="2328F454" w14:textId="77777777" w:rsidR="00B97055" w:rsidRPr="006A1106" w:rsidRDefault="00B97055" w:rsidP="00B97055">
      <w:pPr>
        <w:spacing w:before="120" w:after="0" w:line="276" w:lineRule="auto"/>
        <w:ind w:firstLine="720"/>
        <w:contextualSpacing/>
        <w:jc w:val="both"/>
        <w:rPr>
          <w:rFonts w:ascii="Times New Roman" w:eastAsia="Calibri" w:hAnsi="Times New Roman" w:cs="Times New Roman"/>
          <w:sz w:val="24"/>
          <w:szCs w:val="24"/>
        </w:rPr>
      </w:pPr>
      <w:r w:rsidRPr="006A1106">
        <w:rPr>
          <w:rFonts w:ascii="Times New Roman" w:eastAsia="Calibri" w:hAnsi="Times New Roman" w:cs="Times New Roman"/>
          <w:sz w:val="24"/>
          <w:szCs w:val="24"/>
        </w:rPr>
        <w:lastRenderedPageBreak/>
        <w:t>Ерозията може да бъде дълбочинна и странична. Най-характерна форма на дълбочинната речна ерозия е речната долина. Нееднаквата твърдост на скалите е предпоставка за създаване на речното легло, в резултат на което се образуват бързеи,</w:t>
      </w:r>
      <w:r w:rsidR="00E640C3" w:rsidRPr="006A1106">
        <w:rPr>
          <w:rFonts w:ascii="Times New Roman" w:eastAsia="Calibri" w:hAnsi="Times New Roman" w:cs="Times New Roman"/>
          <w:sz w:val="24"/>
          <w:szCs w:val="24"/>
        </w:rPr>
        <w:t xml:space="preserve"> </w:t>
      </w:r>
      <w:r w:rsidRPr="006A1106">
        <w:rPr>
          <w:rFonts w:ascii="Times New Roman" w:eastAsia="Calibri" w:hAnsi="Times New Roman" w:cs="Times New Roman"/>
          <w:sz w:val="24"/>
          <w:szCs w:val="24"/>
        </w:rPr>
        <w:t xml:space="preserve">прагове и водопади, които са от </w:t>
      </w:r>
      <w:r w:rsidR="00E640C3" w:rsidRPr="006A1106">
        <w:rPr>
          <w:rFonts w:ascii="Times New Roman" w:eastAsia="Calibri" w:hAnsi="Times New Roman" w:cs="Times New Roman"/>
          <w:sz w:val="24"/>
          <w:szCs w:val="24"/>
        </w:rPr>
        <w:t>значение</w:t>
      </w:r>
      <w:r w:rsidRPr="006A1106">
        <w:rPr>
          <w:rFonts w:ascii="Times New Roman" w:eastAsia="Calibri" w:hAnsi="Times New Roman" w:cs="Times New Roman"/>
          <w:sz w:val="24"/>
          <w:szCs w:val="24"/>
        </w:rPr>
        <w:t xml:space="preserve"> при мостовото строителство.</w:t>
      </w:r>
    </w:p>
    <w:p w14:paraId="7531FBC6" w14:textId="77777777" w:rsidR="00B97055" w:rsidRPr="006A1106" w:rsidRDefault="00B97055" w:rsidP="00B97055">
      <w:pPr>
        <w:spacing w:before="120" w:after="0" w:line="276" w:lineRule="auto"/>
        <w:ind w:firstLine="720"/>
        <w:contextualSpacing/>
        <w:jc w:val="both"/>
        <w:rPr>
          <w:rFonts w:ascii="Times New Roman" w:eastAsia="Calibri" w:hAnsi="Times New Roman" w:cs="Times New Roman"/>
          <w:sz w:val="24"/>
          <w:szCs w:val="24"/>
        </w:rPr>
      </w:pPr>
      <w:r w:rsidRPr="006A1106">
        <w:rPr>
          <w:rFonts w:ascii="Times New Roman" w:eastAsia="Calibri" w:hAnsi="Times New Roman" w:cs="Times New Roman"/>
          <w:sz w:val="24"/>
          <w:szCs w:val="24"/>
        </w:rPr>
        <w:t xml:space="preserve">Ерозионните процеси застрашават безопасната експлоатация на изградените инженерни съоръжения. </w:t>
      </w:r>
    </w:p>
    <w:p w14:paraId="1994E327" w14:textId="77777777" w:rsidR="00B97055" w:rsidRPr="006A1106" w:rsidRDefault="00B97055" w:rsidP="00B97055">
      <w:pPr>
        <w:spacing w:before="120" w:after="0" w:line="276" w:lineRule="auto"/>
        <w:ind w:firstLine="709"/>
        <w:jc w:val="both"/>
        <w:rPr>
          <w:rFonts w:ascii="Times New Roman" w:hAnsi="Times New Roman" w:cs="Times New Roman"/>
          <w:sz w:val="24"/>
          <w:szCs w:val="24"/>
        </w:rPr>
      </w:pPr>
      <w:r w:rsidRPr="006A1106">
        <w:rPr>
          <w:rFonts w:ascii="Times New Roman" w:hAnsi="Times New Roman" w:cs="Times New Roman"/>
          <w:b/>
          <w:i/>
          <w:sz w:val="24"/>
          <w:szCs w:val="24"/>
        </w:rPr>
        <w:t xml:space="preserve">Абразията </w:t>
      </w:r>
      <w:r w:rsidRPr="006A1106">
        <w:rPr>
          <w:rFonts w:ascii="Times New Roman" w:hAnsi="Times New Roman" w:cs="Times New Roman"/>
          <w:sz w:val="24"/>
          <w:szCs w:val="24"/>
        </w:rPr>
        <w:t>е един от най-важните процеси, съставляващи геоложкия риск по Черноморското крайбрежие. Тя се проявява в 70% от дължината на бреговата зона. Последиците от действието на морската абразия са: активизиране на стари и/или предизвикване на нови свличания, срутища, разрушаване на подпорни стени и съоръжения, изградени в бреговата зона.</w:t>
      </w:r>
    </w:p>
    <w:p w14:paraId="7FDB0B55" w14:textId="77777777" w:rsidR="00B97055" w:rsidRPr="006A1106" w:rsidRDefault="00B97055" w:rsidP="00B97055">
      <w:pPr>
        <w:spacing w:before="120" w:after="0" w:line="276" w:lineRule="auto"/>
        <w:ind w:firstLine="709"/>
        <w:jc w:val="both"/>
        <w:rPr>
          <w:rFonts w:ascii="Times New Roman" w:hAnsi="Times New Roman" w:cs="Times New Roman"/>
          <w:sz w:val="24"/>
          <w:szCs w:val="24"/>
        </w:rPr>
      </w:pPr>
      <w:r w:rsidRPr="006A1106">
        <w:rPr>
          <w:rFonts w:ascii="Times New Roman" w:hAnsi="Times New Roman" w:cs="Times New Roman"/>
          <w:b/>
          <w:i/>
          <w:sz w:val="24"/>
          <w:szCs w:val="24"/>
        </w:rPr>
        <w:t>Карстообразуването</w:t>
      </w:r>
      <w:r w:rsidRPr="006A1106">
        <w:rPr>
          <w:rFonts w:ascii="Times New Roman" w:hAnsi="Times New Roman" w:cs="Times New Roman"/>
          <w:sz w:val="24"/>
          <w:szCs w:val="24"/>
        </w:rPr>
        <w:t xml:space="preserve"> е процес, който се развива във варовити скали. </w:t>
      </w:r>
      <w:r w:rsidR="00E640C3" w:rsidRPr="006A1106">
        <w:rPr>
          <w:rFonts w:ascii="Times New Roman" w:hAnsi="Times New Roman" w:cs="Times New Roman"/>
          <w:sz w:val="24"/>
          <w:szCs w:val="24"/>
        </w:rPr>
        <w:t>Скоростта</w:t>
      </w:r>
      <w:r w:rsidRPr="006A1106">
        <w:rPr>
          <w:rFonts w:ascii="Times New Roman" w:hAnsi="Times New Roman" w:cs="Times New Roman"/>
          <w:sz w:val="24"/>
          <w:szCs w:val="24"/>
        </w:rPr>
        <w:t xml:space="preserve"> на развитието му е много малка и практически не застрашава непосредствено устойчивостта на инженерните съоръжения.</w:t>
      </w:r>
    </w:p>
    <w:p w14:paraId="114EB69D" w14:textId="77777777" w:rsidR="00B97055" w:rsidRPr="006A1106" w:rsidRDefault="00B97055" w:rsidP="00B97055">
      <w:pPr>
        <w:spacing w:before="120" w:after="0" w:line="276" w:lineRule="auto"/>
        <w:ind w:firstLine="720"/>
        <w:contextualSpacing/>
        <w:jc w:val="both"/>
        <w:rPr>
          <w:rFonts w:ascii="Times New Roman" w:hAnsi="Times New Roman" w:cs="Times New Roman"/>
          <w:sz w:val="24"/>
          <w:szCs w:val="24"/>
        </w:rPr>
      </w:pPr>
      <w:r w:rsidRPr="006A1106">
        <w:rPr>
          <w:rFonts w:ascii="Times New Roman" w:hAnsi="Times New Roman" w:cs="Times New Roman"/>
          <w:sz w:val="24"/>
          <w:szCs w:val="24"/>
        </w:rPr>
        <w:t>От съществено значение е, че няма естествена бариера или екран, който да предпази подземните води от замърсяване в карстовите терени.</w:t>
      </w:r>
    </w:p>
    <w:p w14:paraId="13C06CE5" w14:textId="77777777" w:rsidR="00B97055" w:rsidRPr="006A1106" w:rsidRDefault="00B97055" w:rsidP="006A1106">
      <w:pPr>
        <w:spacing w:after="0" w:line="276" w:lineRule="auto"/>
        <w:ind w:firstLine="720"/>
        <w:contextualSpacing/>
        <w:jc w:val="both"/>
        <w:rPr>
          <w:rFonts w:ascii="Times New Roman" w:hAnsi="Times New Roman" w:cs="Times New Roman"/>
          <w:sz w:val="24"/>
          <w:szCs w:val="24"/>
        </w:rPr>
      </w:pPr>
      <w:r w:rsidRPr="006A1106">
        <w:rPr>
          <w:rFonts w:ascii="Times New Roman" w:hAnsi="Times New Roman" w:cs="Times New Roman"/>
          <w:b/>
          <w:i/>
          <w:sz w:val="24"/>
          <w:szCs w:val="24"/>
        </w:rPr>
        <w:t>Пропадането на льоса</w:t>
      </w:r>
      <w:r w:rsidRPr="006A1106">
        <w:rPr>
          <w:rFonts w:ascii="Times New Roman" w:hAnsi="Times New Roman" w:cs="Times New Roman"/>
          <w:sz w:val="24"/>
          <w:szCs w:val="24"/>
        </w:rPr>
        <w:t xml:space="preserve"> е процес  на внезапно слягане на льосовите седименти при </w:t>
      </w:r>
      <w:r w:rsidR="00E640C3" w:rsidRPr="006A1106">
        <w:rPr>
          <w:rFonts w:ascii="Times New Roman" w:hAnsi="Times New Roman" w:cs="Times New Roman"/>
          <w:sz w:val="24"/>
          <w:szCs w:val="24"/>
        </w:rPr>
        <w:t>овлажняване</w:t>
      </w:r>
      <w:r w:rsidRPr="006A1106">
        <w:rPr>
          <w:rFonts w:ascii="Times New Roman" w:hAnsi="Times New Roman" w:cs="Times New Roman"/>
          <w:sz w:val="24"/>
          <w:szCs w:val="24"/>
        </w:rPr>
        <w:t xml:space="preserve"> в съчетание с натоварване. </w:t>
      </w:r>
    </w:p>
    <w:p w14:paraId="581E4815" w14:textId="77777777" w:rsidR="00B97055" w:rsidRPr="006A1106" w:rsidRDefault="00B97055" w:rsidP="006A1106">
      <w:pPr>
        <w:spacing w:after="0" w:line="276" w:lineRule="auto"/>
        <w:ind w:firstLine="720"/>
        <w:contextualSpacing/>
        <w:jc w:val="both"/>
        <w:rPr>
          <w:rFonts w:ascii="Times New Roman" w:hAnsi="Times New Roman" w:cs="Times New Roman"/>
          <w:sz w:val="24"/>
          <w:szCs w:val="24"/>
        </w:rPr>
      </w:pPr>
      <w:r w:rsidRPr="006A1106">
        <w:rPr>
          <w:rFonts w:ascii="Times New Roman" w:hAnsi="Times New Roman" w:cs="Times New Roman"/>
          <w:sz w:val="24"/>
          <w:szCs w:val="24"/>
        </w:rPr>
        <w:t xml:space="preserve">Льосовите строителни почви се отличават със своята недоуплътненост и структурна неустойчивост. Пропадъчният льос се поделя на три разновидности: песъчлив, типичен  и глинест. </w:t>
      </w:r>
    </w:p>
    <w:p w14:paraId="1CC044FE" w14:textId="77777777" w:rsidR="00B97055" w:rsidRPr="006A1106" w:rsidRDefault="00B97055" w:rsidP="006A1106">
      <w:pPr>
        <w:spacing w:after="0" w:line="276" w:lineRule="auto"/>
        <w:ind w:firstLine="709"/>
        <w:jc w:val="both"/>
        <w:rPr>
          <w:rFonts w:ascii="Times New Roman" w:hAnsi="Times New Roman" w:cs="Times New Roman"/>
          <w:sz w:val="24"/>
          <w:szCs w:val="24"/>
        </w:rPr>
      </w:pPr>
      <w:r w:rsidRPr="006A1106">
        <w:rPr>
          <w:rFonts w:ascii="Times New Roman" w:hAnsi="Times New Roman" w:cs="Times New Roman"/>
          <w:sz w:val="24"/>
          <w:szCs w:val="24"/>
        </w:rPr>
        <w:t>В тази връзка пропад</w:t>
      </w:r>
      <w:r w:rsidR="00E640C3" w:rsidRPr="006A1106">
        <w:rPr>
          <w:rFonts w:ascii="Times New Roman" w:hAnsi="Times New Roman" w:cs="Times New Roman"/>
          <w:sz w:val="24"/>
          <w:szCs w:val="24"/>
        </w:rPr>
        <w:t>а</w:t>
      </w:r>
      <w:r w:rsidRPr="006A1106">
        <w:rPr>
          <w:rFonts w:ascii="Times New Roman" w:hAnsi="Times New Roman" w:cs="Times New Roman"/>
          <w:sz w:val="24"/>
          <w:szCs w:val="24"/>
        </w:rPr>
        <w:t xml:space="preserve">нето на льоса като геодинамичен процес не се отразява значително на трасетата на линейната инфраструктура, но за изграждането на обекти на промишленото строителство (гари, пристанищни съоръжения, терминали и др.) е от първостепенно значение. </w:t>
      </w:r>
    </w:p>
    <w:p w14:paraId="17238550" w14:textId="431CAA30" w:rsidR="00B97055" w:rsidRPr="006A1106" w:rsidRDefault="00B97055" w:rsidP="006A1106">
      <w:pPr>
        <w:spacing w:after="0" w:line="276" w:lineRule="auto"/>
        <w:ind w:firstLine="720"/>
        <w:contextualSpacing/>
        <w:jc w:val="both"/>
        <w:rPr>
          <w:rFonts w:ascii="Times New Roman" w:hAnsi="Times New Roman" w:cs="Times New Roman"/>
          <w:sz w:val="24"/>
          <w:szCs w:val="24"/>
        </w:rPr>
      </w:pPr>
      <w:r w:rsidRPr="006A1106">
        <w:rPr>
          <w:rFonts w:ascii="Times New Roman" w:hAnsi="Times New Roman"/>
          <w:i/>
          <w:iCs/>
          <w:sz w:val="24"/>
          <w:szCs w:val="24"/>
        </w:rPr>
        <w:t xml:space="preserve">В Доклада за ЕО ще бъде направена тектонска характеристика на България,  характеристика на инженерно-геоложките региони и техните области, както и физико-геоложките явления по отделните области. Ще бъдат разгледани физико-геоложките процеси и явления, като най-рискови за проектите, които се разглеждат в </w:t>
      </w:r>
      <w:r w:rsidR="003D3C88" w:rsidRPr="006A1106">
        <w:rPr>
          <w:rFonts w:ascii="Times New Roman" w:hAnsi="Times New Roman"/>
          <w:i/>
          <w:iCs/>
          <w:sz w:val="24"/>
          <w:szCs w:val="24"/>
        </w:rPr>
        <w:t>П</w:t>
      </w:r>
      <w:r w:rsidR="00D92F21">
        <w:rPr>
          <w:rFonts w:ascii="Times New Roman" w:hAnsi="Times New Roman"/>
          <w:i/>
          <w:iCs/>
          <w:sz w:val="24"/>
          <w:szCs w:val="24"/>
        </w:rPr>
        <w:t>лана</w:t>
      </w:r>
      <w:r w:rsidRPr="006A1106">
        <w:rPr>
          <w:rFonts w:ascii="Times New Roman" w:hAnsi="Times New Roman"/>
          <w:i/>
          <w:iCs/>
          <w:sz w:val="24"/>
          <w:szCs w:val="24"/>
        </w:rPr>
        <w:t>. Ще се разгледа и сеизмичността на територията на Република България.</w:t>
      </w:r>
    </w:p>
    <w:p w14:paraId="48BE1B03" w14:textId="77777777" w:rsidR="00B04B13" w:rsidRPr="006A1106" w:rsidRDefault="00B04B13" w:rsidP="001D33CA">
      <w:pPr>
        <w:pStyle w:val="ListParagraph"/>
        <w:spacing w:after="0" w:line="276" w:lineRule="auto"/>
        <w:ind w:left="0" w:firstLine="709"/>
        <w:jc w:val="both"/>
        <w:rPr>
          <w:rFonts w:ascii="Times New Roman" w:hAnsi="Times New Roman" w:cs="Times New Roman"/>
          <w:sz w:val="24"/>
          <w:szCs w:val="24"/>
        </w:rPr>
      </w:pPr>
    </w:p>
    <w:p w14:paraId="401F30D6" w14:textId="77777777" w:rsidR="000E0DAB" w:rsidRPr="006A1106" w:rsidRDefault="000E0DAB" w:rsidP="004F15F5">
      <w:pPr>
        <w:pStyle w:val="Heading5"/>
        <w:numPr>
          <w:ilvl w:val="2"/>
          <w:numId w:val="8"/>
        </w:numPr>
        <w:spacing w:line="276" w:lineRule="auto"/>
        <w:ind w:left="0" w:firstLine="709"/>
        <w:jc w:val="both"/>
        <w:rPr>
          <w:rFonts w:ascii="Times New Roman" w:hAnsi="Times New Roman" w:cs="Times New Roman"/>
          <w:b/>
          <w:i/>
          <w:color w:val="auto"/>
          <w:sz w:val="24"/>
        </w:rPr>
      </w:pPr>
      <w:r w:rsidRPr="006A1106">
        <w:rPr>
          <w:rFonts w:ascii="Times New Roman" w:hAnsi="Times New Roman" w:cs="Times New Roman"/>
          <w:b/>
          <w:i/>
          <w:color w:val="auto"/>
          <w:sz w:val="24"/>
        </w:rPr>
        <w:t>Състоя</w:t>
      </w:r>
      <w:r w:rsidR="002511B6" w:rsidRPr="006A1106">
        <w:rPr>
          <w:rFonts w:ascii="Times New Roman" w:hAnsi="Times New Roman" w:cs="Times New Roman"/>
          <w:b/>
          <w:i/>
          <w:color w:val="auto"/>
          <w:sz w:val="24"/>
        </w:rPr>
        <w:t>ние на почвите и земеползването</w:t>
      </w:r>
    </w:p>
    <w:p w14:paraId="07A1470E" w14:textId="77777777" w:rsidR="00062267" w:rsidRPr="006A1106" w:rsidRDefault="00062267" w:rsidP="00D92F21">
      <w:pPr>
        <w:pStyle w:val="Default"/>
        <w:spacing w:line="276" w:lineRule="auto"/>
        <w:ind w:firstLine="720"/>
        <w:jc w:val="both"/>
        <w:rPr>
          <w:color w:val="auto"/>
          <w:lang w:val="bg-BG"/>
        </w:rPr>
      </w:pPr>
      <w:r w:rsidRPr="006A1106">
        <w:rPr>
          <w:color w:val="auto"/>
          <w:lang w:val="bg-BG"/>
        </w:rPr>
        <w:t>Съвременната почвена покривка на страната се характеризира с голямо разнообразие – включва разнообразни по генезис и състав почви.</w:t>
      </w:r>
    </w:p>
    <w:p w14:paraId="512F983C" w14:textId="77777777" w:rsidR="006A1106" w:rsidRPr="0037013C" w:rsidRDefault="006A1106" w:rsidP="00D92F21">
      <w:pPr>
        <w:spacing w:after="0" w:line="276" w:lineRule="auto"/>
        <w:ind w:firstLine="720"/>
        <w:jc w:val="both"/>
        <w:rPr>
          <w:rFonts w:ascii="Times New Roman" w:eastAsia="Calibri" w:hAnsi="Times New Roman" w:cs="Times New Roman"/>
          <w:sz w:val="24"/>
          <w:szCs w:val="24"/>
        </w:rPr>
      </w:pPr>
      <w:r w:rsidRPr="0037013C">
        <w:rPr>
          <w:rFonts w:ascii="Times New Roman" w:eastAsia="Calibri" w:hAnsi="Times New Roman" w:cs="Times New Roman"/>
          <w:sz w:val="24"/>
          <w:szCs w:val="24"/>
        </w:rPr>
        <w:t xml:space="preserve">Територията на България се характеризира с голямо разнообразие на почвената покривка. Съгласно класификацията на почвите на Земята от </w:t>
      </w:r>
      <w:r w:rsidRPr="0037013C">
        <w:rPr>
          <w:rFonts w:ascii="Times New Roman" w:eastAsia="Calibri" w:hAnsi="Times New Roman" w:cs="Times New Roman"/>
          <w:sz w:val="24"/>
          <w:szCs w:val="24"/>
          <w:lang w:val="en-GB"/>
        </w:rPr>
        <w:t>FAO</w:t>
      </w:r>
      <w:r w:rsidRPr="009A6559">
        <w:rPr>
          <w:rFonts w:ascii="Times New Roman" w:eastAsia="Calibri" w:hAnsi="Times New Roman" w:cs="Times New Roman"/>
          <w:sz w:val="24"/>
          <w:szCs w:val="24"/>
        </w:rPr>
        <w:t xml:space="preserve"> </w:t>
      </w:r>
      <w:r w:rsidRPr="0037013C">
        <w:rPr>
          <w:rFonts w:ascii="Times New Roman" w:eastAsia="Calibri" w:hAnsi="Times New Roman" w:cs="Times New Roman"/>
          <w:sz w:val="24"/>
          <w:szCs w:val="24"/>
        </w:rPr>
        <w:t>у нас са установени 8 от всички 28 висши таксономични единици на почвите.</w:t>
      </w:r>
      <w:r w:rsidRPr="0037013C">
        <w:rPr>
          <w:rFonts w:ascii="Times New Roman" w:eastAsia="Calibri" w:hAnsi="Times New Roman" w:cs="Times New Roman"/>
          <w:sz w:val="24"/>
          <w:szCs w:val="24"/>
          <w:highlight w:val="yellow"/>
        </w:rPr>
        <w:t xml:space="preserve"> </w:t>
      </w:r>
    </w:p>
    <w:p w14:paraId="29F01FD2" w14:textId="77777777" w:rsidR="006A1106" w:rsidRPr="0037013C" w:rsidRDefault="006A1106" w:rsidP="00D92F21">
      <w:pPr>
        <w:spacing w:after="0" w:line="276" w:lineRule="auto"/>
        <w:ind w:firstLine="720"/>
        <w:jc w:val="both"/>
        <w:rPr>
          <w:rFonts w:ascii="Times New Roman" w:eastAsia="Calibri" w:hAnsi="Times New Roman" w:cs="Times New Roman"/>
          <w:sz w:val="24"/>
          <w:szCs w:val="24"/>
        </w:rPr>
      </w:pPr>
      <w:r w:rsidRPr="0037013C">
        <w:rPr>
          <w:rFonts w:ascii="Times New Roman" w:eastAsia="Calibri" w:hAnsi="Times New Roman" w:cs="Times New Roman"/>
          <w:sz w:val="24"/>
          <w:szCs w:val="24"/>
        </w:rPr>
        <w:t xml:space="preserve">Почвите в страната са в добро екологично състояние по отношение на запасеност с биогенни елементи/органично вещество, съдържание на тежки метали и металоиди, и </w:t>
      </w:r>
      <w:r w:rsidRPr="0037013C">
        <w:rPr>
          <w:rFonts w:ascii="Times New Roman" w:eastAsia="Calibri" w:hAnsi="Times New Roman" w:cs="Times New Roman"/>
          <w:sz w:val="24"/>
          <w:szCs w:val="24"/>
        </w:rPr>
        <w:lastRenderedPageBreak/>
        <w:t xml:space="preserve">устойчиви органични замърсители (полиароматни въглеводороди, полихлорирани бифенили и хлорорганични пестициди). Почвените замърсявания могат да бъдат: дифузни (с основен източник земеделските практики и атмосферното замърсяване) и локални (минни обекти и индустриални предприятия). В резултат на локалните и дифузните почвени замърсявания настъпват промени в състоянието на почвата и качеството на произвежданата продукция. </w:t>
      </w:r>
    </w:p>
    <w:p w14:paraId="7C0195F3" w14:textId="77777777" w:rsidR="006A1106" w:rsidRDefault="006A1106" w:rsidP="00D92F21">
      <w:pPr>
        <w:spacing w:after="0" w:line="276" w:lineRule="auto"/>
        <w:ind w:firstLine="720"/>
        <w:jc w:val="both"/>
        <w:rPr>
          <w:rFonts w:ascii="Times New Roman" w:eastAsia="Calibri" w:hAnsi="Times New Roman" w:cs="Times New Roman"/>
          <w:sz w:val="24"/>
          <w:szCs w:val="24"/>
        </w:rPr>
      </w:pPr>
      <w:r w:rsidRPr="009A6559">
        <w:rPr>
          <w:rFonts w:ascii="Times New Roman" w:eastAsia="Calibri" w:hAnsi="Times New Roman" w:cs="Times New Roman"/>
          <w:sz w:val="24"/>
          <w:szCs w:val="24"/>
        </w:rPr>
        <w:t>Структурата на ползването на земята в България е променлива</w:t>
      </w:r>
      <w:r>
        <w:rPr>
          <w:rFonts w:ascii="Times New Roman" w:eastAsia="Calibri" w:hAnsi="Times New Roman" w:cs="Times New Roman"/>
          <w:sz w:val="24"/>
          <w:szCs w:val="24"/>
        </w:rPr>
        <w:t>. През 2024</w:t>
      </w:r>
      <w:r w:rsidRPr="0037013C">
        <w:rPr>
          <w:rFonts w:ascii="Times New Roman" w:eastAsia="Calibri" w:hAnsi="Times New Roman" w:cs="Times New Roman"/>
          <w:sz w:val="24"/>
          <w:szCs w:val="24"/>
        </w:rPr>
        <w:t xml:space="preserve"> г. използваната земеделска площ е 4</w:t>
      </w:r>
      <w:r>
        <w:rPr>
          <w:rFonts w:ascii="Times New Roman" w:eastAsia="Calibri" w:hAnsi="Times New Roman" w:cs="Times New Roman"/>
          <w:sz w:val="24"/>
          <w:szCs w:val="24"/>
        </w:rPr>
        <w:t>5</w:t>
      </w:r>
      <w:r w:rsidRPr="0037013C">
        <w:rPr>
          <w:rFonts w:ascii="Times New Roman" w:eastAsia="Calibri" w:hAnsi="Times New Roman" w:cs="Times New Roman"/>
          <w:sz w:val="24"/>
          <w:szCs w:val="24"/>
        </w:rPr>
        <w:t>.</w:t>
      </w:r>
      <w:r>
        <w:rPr>
          <w:rFonts w:ascii="Times New Roman" w:eastAsia="Calibri" w:hAnsi="Times New Roman" w:cs="Times New Roman"/>
          <w:sz w:val="24"/>
          <w:szCs w:val="24"/>
        </w:rPr>
        <w:t>2</w:t>
      </w:r>
      <w:r w:rsidRPr="0037013C">
        <w:rPr>
          <w:rFonts w:ascii="Times New Roman" w:eastAsia="Calibri" w:hAnsi="Times New Roman" w:cs="Times New Roman"/>
          <w:sz w:val="24"/>
          <w:szCs w:val="24"/>
        </w:rPr>
        <w:t xml:space="preserve"> % от територията на страната, като се наблюдава </w:t>
      </w:r>
      <w:r w:rsidRPr="00477AB7">
        <w:rPr>
          <w:rFonts w:ascii="Times New Roman" w:eastAsia="Calibri" w:hAnsi="Times New Roman" w:cs="Times New Roman"/>
          <w:sz w:val="24"/>
          <w:szCs w:val="24"/>
        </w:rPr>
        <w:t>увеличение с 0.</w:t>
      </w:r>
      <w:r>
        <w:rPr>
          <w:rFonts w:ascii="Times New Roman" w:eastAsia="Calibri" w:hAnsi="Times New Roman" w:cs="Times New Roman"/>
          <w:sz w:val="24"/>
          <w:szCs w:val="24"/>
        </w:rPr>
        <w:t>1</w:t>
      </w:r>
      <w:r w:rsidRPr="00477AB7">
        <w:rPr>
          <w:rFonts w:ascii="Times New Roman" w:eastAsia="Calibri" w:hAnsi="Times New Roman" w:cs="Times New Roman"/>
          <w:sz w:val="24"/>
          <w:szCs w:val="24"/>
        </w:rPr>
        <w:t xml:space="preserve"> % </w:t>
      </w:r>
      <w:r>
        <w:rPr>
          <w:rFonts w:ascii="Times New Roman" w:eastAsia="Calibri" w:hAnsi="Times New Roman" w:cs="Times New Roman"/>
          <w:sz w:val="24"/>
          <w:szCs w:val="24"/>
        </w:rPr>
        <w:t xml:space="preserve">спрямо </w:t>
      </w:r>
      <w:r w:rsidRPr="00477AB7">
        <w:rPr>
          <w:rFonts w:ascii="Times New Roman" w:eastAsia="Calibri" w:hAnsi="Times New Roman" w:cs="Times New Roman"/>
          <w:sz w:val="24"/>
          <w:szCs w:val="24"/>
        </w:rPr>
        <w:t>20</w:t>
      </w:r>
      <w:r>
        <w:rPr>
          <w:rFonts w:ascii="Times New Roman" w:eastAsia="Calibri" w:hAnsi="Times New Roman" w:cs="Times New Roman"/>
          <w:sz w:val="24"/>
          <w:szCs w:val="24"/>
        </w:rPr>
        <w:t>23</w:t>
      </w:r>
      <w:r w:rsidRPr="00477AB7">
        <w:rPr>
          <w:rFonts w:ascii="Times New Roman" w:eastAsia="Calibri" w:hAnsi="Times New Roman" w:cs="Times New Roman"/>
          <w:sz w:val="24"/>
          <w:szCs w:val="24"/>
        </w:rPr>
        <w:t xml:space="preserve"> г.</w:t>
      </w:r>
      <w:r w:rsidRPr="00477AB7">
        <w:rPr>
          <w:rFonts w:ascii="Arial" w:eastAsia="Calibri" w:hAnsi="Arial" w:cs="Arial"/>
          <w:color w:val="000000"/>
          <w:sz w:val="19"/>
          <w:szCs w:val="19"/>
          <w:shd w:val="clear" w:color="auto" w:fill="FFFFFF"/>
        </w:rPr>
        <w:t xml:space="preserve"> </w:t>
      </w:r>
      <w:r w:rsidRPr="00477AB7">
        <w:rPr>
          <w:rFonts w:ascii="Times New Roman" w:eastAsia="Calibri" w:hAnsi="Times New Roman" w:cs="Times New Roman"/>
          <w:sz w:val="24"/>
          <w:szCs w:val="24"/>
        </w:rPr>
        <w:t>Необработваемите земи</w:t>
      </w:r>
      <w:r w:rsidRPr="00477AB7">
        <w:rPr>
          <w:rFonts w:ascii="Times New Roman" w:eastAsia="Calibri" w:hAnsi="Times New Roman" w:cs="Times New Roman"/>
          <w:sz w:val="24"/>
          <w:szCs w:val="24"/>
          <w:vertAlign w:val="superscript"/>
        </w:rPr>
        <w:t xml:space="preserve"> </w:t>
      </w:r>
      <w:r w:rsidRPr="00477AB7">
        <w:rPr>
          <w:rFonts w:ascii="Times New Roman" w:eastAsia="Calibri" w:hAnsi="Times New Roman" w:cs="Times New Roman"/>
          <w:sz w:val="24"/>
          <w:szCs w:val="24"/>
        </w:rPr>
        <w:t>през 20</w:t>
      </w:r>
      <w:r>
        <w:rPr>
          <w:rFonts w:ascii="Times New Roman" w:eastAsia="Calibri" w:hAnsi="Times New Roman" w:cs="Times New Roman"/>
          <w:sz w:val="24"/>
          <w:szCs w:val="24"/>
        </w:rPr>
        <w:t>24</w:t>
      </w:r>
      <w:r w:rsidRPr="00477AB7">
        <w:rPr>
          <w:rFonts w:ascii="Times New Roman" w:eastAsia="Calibri" w:hAnsi="Times New Roman" w:cs="Times New Roman"/>
          <w:sz w:val="24"/>
          <w:szCs w:val="24"/>
        </w:rPr>
        <w:t xml:space="preserve"> г. заемат </w:t>
      </w:r>
      <w:r w:rsidR="00651C42">
        <w:rPr>
          <w:rFonts w:ascii="Times New Roman" w:eastAsia="Calibri" w:hAnsi="Times New Roman" w:cs="Times New Roman"/>
          <w:sz w:val="24"/>
          <w:szCs w:val="24"/>
        </w:rPr>
        <w:t>1.8% от</w:t>
      </w:r>
      <w:r w:rsidRPr="00477AB7">
        <w:rPr>
          <w:rFonts w:ascii="Times New Roman" w:eastAsia="Calibri" w:hAnsi="Times New Roman" w:cs="Times New Roman"/>
          <w:sz w:val="24"/>
          <w:szCs w:val="24"/>
        </w:rPr>
        <w:t xml:space="preserve"> площта на страната. </w:t>
      </w:r>
    </w:p>
    <w:p w14:paraId="63E2833C" w14:textId="77777777" w:rsidR="00A2656C" w:rsidRPr="006A1106" w:rsidRDefault="00062267" w:rsidP="00D92F21">
      <w:pPr>
        <w:pStyle w:val="ListParagraph"/>
        <w:spacing w:after="0" w:line="276" w:lineRule="auto"/>
        <w:ind w:left="0" w:firstLine="709"/>
        <w:jc w:val="both"/>
        <w:rPr>
          <w:rFonts w:ascii="Times New Roman" w:hAnsi="Times New Roman"/>
          <w:i/>
          <w:sz w:val="24"/>
          <w:szCs w:val="24"/>
        </w:rPr>
      </w:pPr>
      <w:r w:rsidRPr="006A1106">
        <w:rPr>
          <w:rFonts w:ascii="Times New Roman" w:hAnsi="Times New Roman"/>
          <w:i/>
          <w:sz w:val="24"/>
          <w:szCs w:val="24"/>
        </w:rPr>
        <w:t xml:space="preserve">В Доклада за </w:t>
      </w:r>
      <w:r w:rsidR="00A2656C" w:rsidRPr="006A1106">
        <w:rPr>
          <w:rFonts w:ascii="Times New Roman" w:hAnsi="Times New Roman"/>
          <w:i/>
          <w:sz w:val="24"/>
          <w:szCs w:val="24"/>
        </w:rPr>
        <w:t>екологична оценка</w:t>
      </w:r>
      <w:r w:rsidRPr="006A1106">
        <w:rPr>
          <w:rFonts w:ascii="Times New Roman" w:hAnsi="Times New Roman"/>
          <w:i/>
          <w:sz w:val="24"/>
          <w:szCs w:val="24"/>
        </w:rPr>
        <w:t xml:space="preserve"> ще бъде </w:t>
      </w:r>
      <w:r w:rsidR="00A2656C" w:rsidRPr="006A1106">
        <w:rPr>
          <w:rFonts w:ascii="Times New Roman" w:hAnsi="Times New Roman"/>
          <w:i/>
          <w:sz w:val="24"/>
          <w:szCs w:val="24"/>
        </w:rPr>
        <w:t>направен подробен анализ на състоянието на земеползването в страната</w:t>
      </w:r>
      <w:r w:rsidR="006A1106" w:rsidRPr="006A1106">
        <w:rPr>
          <w:rFonts w:ascii="Times New Roman" w:hAnsi="Times New Roman"/>
          <w:i/>
          <w:sz w:val="24"/>
          <w:szCs w:val="24"/>
        </w:rPr>
        <w:t>.</w:t>
      </w:r>
      <w:r w:rsidR="00A2656C" w:rsidRPr="006A1106">
        <w:rPr>
          <w:rFonts w:ascii="Times New Roman" w:hAnsi="Times New Roman"/>
          <w:i/>
          <w:sz w:val="24"/>
          <w:szCs w:val="24"/>
        </w:rPr>
        <w:t xml:space="preserve"> </w:t>
      </w:r>
    </w:p>
    <w:p w14:paraId="03D18DA9" w14:textId="77777777" w:rsidR="00905224" w:rsidRPr="007A65D9" w:rsidRDefault="00905224" w:rsidP="00D92F21">
      <w:pPr>
        <w:pStyle w:val="ListParagraph"/>
        <w:spacing w:after="0" w:line="276" w:lineRule="auto"/>
        <w:ind w:left="0" w:firstLine="709"/>
        <w:jc w:val="both"/>
        <w:rPr>
          <w:rFonts w:ascii="Times New Roman" w:hAnsi="Times New Roman" w:cs="Times New Roman"/>
          <w:sz w:val="24"/>
          <w:szCs w:val="24"/>
        </w:rPr>
      </w:pPr>
      <w:bookmarkStart w:id="31" w:name="bookmark4"/>
    </w:p>
    <w:bookmarkEnd w:id="31"/>
    <w:p w14:paraId="19343F59" w14:textId="77777777" w:rsidR="000E0DAB" w:rsidRPr="007A65D9" w:rsidRDefault="000E0DAB" w:rsidP="004F15F5">
      <w:pPr>
        <w:pStyle w:val="Heading5"/>
        <w:numPr>
          <w:ilvl w:val="2"/>
          <w:numId w:val="8"/>
        </w:numPr>
        <w:spacing w:line="276" w:lineRule="auto"/>
        <w:ind w:left="0" w:firstLine="709"/>
        <w:jc w:val="both"/>
        <w:rPr>
          <w:rFonts w:ascii="Times New Roman" w:hAnsi="Times New Roman" w:cs="Times New Roman"/>
          <w:b/>
          <w:i/>
          <w:color w:val="auto"/>
          <w:sz w:val="24"/>
        </w:rPr>
      </w:pPr>
      <w:r w:rsidRPr="007A65D9">
        <w:rPr>
          <w:rFonts w:ascii="Times New Roman" w:hAnsi="Times New Roman" w:cs="Times New Roman"/>
          <w:b/>
          <w:i/>
          <w:color w:val="auto"/>
          <w:sz w:val="24"/>
        </w:rPr>
        <w:t>Състояние на расти</w:t>
      </w:r>
      <w:r w:rsidR="00863C73" w:rsidRPr="007A65D9">
        <w:rPr>
          <w:rFonts w:ascii="Times New Roman" w:hAnsi="Times New Roman" w:cs="Times New Roman"/>
          <w:b/>
          <w:i/>
          <w:color w:val="auto"/>
          <w:sz w:val="24"/>
        </w:rPr>
        <w:t xml:space="preserve">телността </w:t>
      </w:r>
      <w:r w:rsidR="00B04B13" w:rsidRPr="007A65D9">
        <w:rPr>
          <w:rFonts w:ascii="Times New Roman" w:hAnsi="Times New Roman" w:cs="Times New Roman"/>
          <w:b/>
          <w:i/>
          <w:color w:val="auto"/>
          <w:sz w:val="24"/>
        </w:rPr>
        <w:t xml:space="preserve"> </w:t>
      </w:r>
    </w:p>
    <w:p w14:paraId="046F0098" w14:textId="77777777" w:rsidR="00A539CE" w:rsidRPr="007A65D9" w:rsidRDefault="00A539CE" w:rsidP="00A539CE">
      <w:pPr>
        <w:spacing w:after="0" w:line="276" w:lineRule="auto"/>
        <w:ind w:firstLine="709"/>
        <w:jc w:val="both"/>
        <w:rPr>
          <w:rFonts w:ascii="Times New Roman" w:hAnsi="Times New Roman" w:cs="Times New Roman"/>
          <w:bCs/>
          <w:sz w:val="24"/>
          <w:szCs w:val="24"/>
        </w:rPr>
      </w:pPr>
      <w:r w:rsidRPr="007A65D9">
        <w:rPr>
          <w:rFonts w:ascii="Times New Roman" w:hAnsi="Times New Roman" w:cs="Times New Roman"/>
          <w:b/>
          <w:bCs/>
          <w:i/>
          <w:iCs/>
          <w:sz w:val="24"/>
          <w:szCs w:val="24"/>
        </w:rPr>
        <w:t>Флора</w:t>
      </w:r>
      <w:r w:rsidRPr="007A65D9">
        <w:rPr>
          <w:rFonts w:ascii="Times New Roman" w:hAnsi="Times New Roman" w:cs="Times New Roman"/>
          <w:bCs/>
          <w:i/>
          <w:iCs/>
          <w:sz w:val="24"/>
          <w:szCs w:val="24"/>
        </w:rPr>
        <w:t>.</w:t>
      </w:r>
      <w:r w:rsidRPr="007A65D9">
        <w:rPr>
          <w:rFonts w:ascii="Times New Roman" w:hAnsi="Times New Roman" w:cs="Times New Roman"/>
          <w:bCs/>
          <w:sz w:val="24"/>
          <w:szCs w:val="24"/>
        </w:rPr>
        <w:t xml:space="preserve"> Според Русакова (2015) българската висша флора включва над 720 вида мъхове, 60 вида папратовидни и 3840 вида семенни растения. В настоящия момент ендемичният елемент в страната е 12,8 %. От тях 186 вида са български ендемити, като голяма част са съсредоточени в Родопите, Стара планина, Пирин и Рила и по-малко в предпланините, равнините и низините. Защитените от Закона за биологичното разнообразие видове са 585. В IUCN Red List of Threatened Plants (Walter &amp; Gillett 1998) са включени 106 вида. В Приложение 1 на Бернската конвенция (1979) са включени 50 вида, 21 вида са в Директива 92/43 ЕЕС, а 67 са в списъците на CITES (Петрова и др. 2005). Антропофитната флора от 560 вида (14 %) включва инвазивни или агресивни чужди видове, които на много места застрашават коренната растителност. Близо 40 % от видовете мъхове попадат в категориите “критично застрашен”, “застрашен” и “уязвим” според критериите на IUCN (2001). От 173 вида чернодробни мъхове 11 са критично застрашени, 16 са застрашени и 33 са уязвими (Ганева, Начева 2005).</w:t>
      </w:r>
    </w:p>
    <w:p w14:paraId="317670BB" w14:textId="77777777" w:rsidR="00A539CE" w:rsidRPr="007A65D9" w:rsidRDefault="00A539CE" w:rsidP="00A539CE">
      <w:pPr>
        <w:spacing w:after="0" w:line="276" w:lineRule="auto"/>
        <w:ind w:firstLine="709"/>
        <w:jc w:val="both"/>
        <w:rPr>
          <w:rFonts w:ascii="Times New Roman" w:hAnsi="Times New Roman" w:cs="Times New Roman"/>
          <w:bCs/>
          <w:sz w:val="24"/>
          <w:szCs w:val="24"/>
        </w:rPr>
      </w:pPr>
      <w:r w:rsidRPr="007A65D9">
        <w:rPr>
          <w:rFonts w:ascii="Times New Roman" w:hAnsi="Times New Roman" w:cs="Times New Roman"/>
          <w:b/>
          <w:bCs/>
          <w:i/>
          <w:iCs/>
          <w:sz w:val="24"/>
          <w:szCs w:val="24"/>
        </w:rPr>
        <w:t xml:space="preserve">Растителност. </w:t>
      </w:r>
      <w:r w:rsidRPr="007A65D9">
        <w:rPr>
          <w:rFonts w:ascii="Times New Roman" w:hAnsi="Times New Roman" w:cs="Times New Roman"/>
          <w:bCs/>
          <w:sz w:val="24"/>
          <w:szCs w:val="24"/>
        </w:rPr>
        <w:t xml:space="preserve">Растителната покривка на България е много разнообразна -представлява комплекс от съобщества с бореален, средноевропейски (най-широко разпространени), степен (на второ място по разпространение), арктичен, алпийски, балкански (включително средиземноморски) и ендемичен произход. Съгласно районирането на растителността в България, основано на фитогеографска и геоботанична информация (Бондев 2002), страната се разделя на 3 области. Европейската неморална (широколистна горска) област включва провинциите Евксинска, Илирийска (Балканска) и Македоно-Тракийска. Съгласно биогеографското райониране на Европа по Европейския Тематичен Център, прието от Европейската комисия и влязло в Директивата за местообитанията (92/43/ЕЕС), България се отнася към 3 биогеографски района: Алпийски, Континентален и Черноморски. В Приложение 1 на Закона за биологичното разнообразие са включени 90 природни местообитания. </w:t>
      </w:r>
    </w:p>
    <w:p w14:paraId="27CF818A" w14:textId="77777777" w:rsidR="00A539CE" w:rsidRPr="008E0C78" w:rsidRDefault="00A539CE" w:rsidP="00A539CE">
      <w:pPr>
        <w:spacing w:after="0" w:line="276" w:lineRule="auto"/>
        <w:ind w:firstLine="709"/>
        <w:jc w:val="both"/>
        <w:rPr>
          <w:rFonts w:ascii="Times New Roman" w:hAnsi="Times New Roman" w:cs="Times New Roman"/>
          <w:bCs/>
          <w:color w:val="FF0000"/>
          <w:sz w:val="24"/>
          <w:szCs w:val="24"/>
        </w:rPr>
      </w:pPr>
      <w:r w:rsidRPr="007A65D9">
        <w:rPr>
          <w:rFonts w:ascii="Times New Roman" w:hAnsi="Times New Roman" w:cs="Times New Roman"/>
          <w:bCs/>
          <w:sz w:val="24"/>
          <w:szCs w:val="24"/>
        </w:rPr>
        <w:lastRenderedPageBreak/>
        <w:t xml:space="preserve">Алпийска тревиста и храстова растителност има основно в Рила, Пирин и Стара планина. В иглолистния пояс, наред с горите на широко разпространените в Европа смърч и бял бор, са представени и гори доминирани от ендемичните видове бяла и черна мура. Буковите гори са разпространени в диапазона 1000-1300 м във всички наши планини, но ценозите на мизийския бук се срещат и в предпланините. В най-ниските части на планините има габърово-горунов пояс, фрагменти от който има и извън планините. В този пояс освен мизийски бук, габър и горун се срещат и много средиземноморски елементи, като воден габър, хиркански клен, ядивен кестен, дребнолистна и сребролистна липа и паласов черен бор. Особено място в растителността на България имат фитоценозите на южноевксинските видове, локализирани в Странджа и Източна Стара планина. Горите от източен бук и източен горун представляват сложен комплекс от южноевксински и средноевропейски видове. Ксеротермните дъбови гори в хълмисто-равнинните територии на страната се отличават с голямо разнообразие и участието на топлолюбиви видове, като мъждрян, келяв габър, драка, а в Южна България – червена хвойна, дървовидна хвойна, грипа и др. Разпространението на континентална степна и лесостепна растителност е ограничено в Северна и Източна България. Вечнозелени храстови ценози от пърнар у нас проникват по долината на р. Струма. В състава им участват и други южни видове (грипа, кукуч и др.). Сложна е също така структурата на тревната растителност в равнините с участието на много полухрастови видове, особено на варовити и ерозирани терени. Площта на мезофитната (ливадната) тревна растителност все повече намалява. След унищожаването на горите по-често се развиват ксеромезофитни и ксеротермни ценози на черна садина, белизма, валезийска власатка, коило и др. По-редки и с локално разпространение са крайречните гори, водните, халофитните, псамофитните и хазмофитните растителни съобщества в България. </w:t>
      </w:r>
    </w:p>
    <w:p w14:paraId="5EA9492C" w14:textId="77777777" w:rsidR="00A539CE" w:rsidRPr="007A65D9" w:rsidRDefault="00A539CE" w:rsidP="00A539CE">
      <w:pPr>
        <w:spacing w:after="0" w:line="276" w:lineRule="auto"/>
        <w:ind w:firstLine="709"/>
        <w:jc w:val="both"/>
        <w:rPr>
          <w:rFonts w:ascii="Times New Roman" w:hAnsi="Times New Roman" w:cs="Times New Roman"/>
          <w:b/>
          <w:bCs/>
          <w:i/>
          <w:iCs/>
          <w:sz w:val="24"/>
          <w:szCs w:val="24"/>
        </w:rPr>
      </w:pPr>
      <w:r w:rsidRPr="007A65D9">
        <w:rPr>
          <w:rFonts w:ascii="Times New Roman" w:hAnsi="Times New Roman" w:cs="Times New Roman"/>
          <w:b/>
          <w:bCs/>
          <w:i/>
          <w:iCs/>
          <w:sz w:val="24"/>
          <w:szCs w:val="24"/>
        </w:rPr>
        <w:t>Състояние на съвременната растителност и заплахи</w:t>
      </w:r>
    </w:p>
    <w:p w14:paraId="1F69061C" w14:textId="77777777" w:rsidR="00A539CE" w:rsidRPr="007A65D9" w:rsidRDefault="00A539CE" w:rsidP="00A539CE">
      <w:pPr>
        <w:spacing w:after="0" w:line="276" w:lineRule="auto"/>
        <w:ind w:firstLine="709"/>
        <w:jc w:val="both"/>
        <w:rPr>
          <w:rFonts w:ascii="Times New Roman" w:hAnsi="Times New Roman" w:cs="Times New Roman"/>
          <w:bCs/>
          <w:sz w:val="24"/>
          <w:szCs w:val="24"/>
        </w:rPr>
      </w:pPr>
      <w:r w:rsidRPr="007A65D9">
        <w:rPr>
          <w:rFonts w:ascii="Times New Roman" w:hAnsi="Times New Roman" w:cs="Times New Roman"/>
          <w:bCs/>
          <w:sz w:val="24"/>
          <w:szCs w:val="24"/>
        </w:rPr>
        <w:t>Антропогенното въздействие върху растителността е довело до обезлесяване на значителни територии от страната, независимо от надморската височина, макар че най-силно са променени ценози са в равнините. Настъпило е фрагментиране на обширни горски масиви. Влошени са съставът и структурата на останалите гори, някои от които са придобили храсталачен характер. Голяма част от листопадните семенни гори са превърнати в издънкови. Степният тип растителност в основната си част е унищожен. Широко разпространение са придобили и вторично развилите се тревно-храстовите комплекси. Есте</w:t>
      </w:r>
      <w:r w:rsidR="002B568E" w:rsidRPr="007A65D9">
        <w:rPr>
          <w:rFonts w:ascii="Times New Roman" w:hAnsi="Times New Roman" w:cs="Times New Roman"/>
          <w:bCs/>
          <w:sz w:val="24"/>
          <w:szCs w:val="24"/>
        </w:rPr>
        <w:t>с</w:t>
      </w:r>
      <w:r w:rsidRPr="007A65D9">
        <w:rPr>
          <w:rFonts w:ascii="Times New Roman" w:hAnsi="Times New Roman" w:cs="Times New Roman"/>
          <w:bCs/>
          <w:sz w:val="24"/>
          <w:szCs w:val="24"/>
        </w:rPr>
        <w:t xml:space="preserve">твените водоемите са частично или напълно пресушени, променени са речните корита и са унищожени много крайречни местообитания. Високопланинската растителност, доскоро относително по-слабо нарушена, вече също е застрашена от увеличаването на туристическата преса, водовземанията за питейни и други нужди, неправилните земеделски практики. Силно деградирала е растителността по Черноморието, основно поради неконтролируемото развитие на туризма. </w:t>
      </w:r>
    </w:p>
    <w:p w14:paraId="1B1C33F2" w14:textId="77777777" w:rsidR="00A539CE" w:rsidRPr="007A65D9" w:rsidRDefault="00A539CE" w:rsidP="00A539CE">
      <w:pPr>
        <w:spacing w:after="0" w:line="276" w:lineRule="auto"/>
        <w:ind w:firstLine="709"/>
        <w:jc w:val="both"/>
        <w:rPr>
          <w:rFonts w:ascii="Times New Roman" w:hAnsi="Times New Roman" w:cs="Times New Roman"/>
          <w:bCs/>
          <w:i/>
          <w:sz w:val="24"/>
          <w:szCs w:val="24"/>
        </w:rPr>
      </w:pPr>
      <w:bookmarkStart w:id="32" w:name="_Hlk55201962"/>
      <w:r w:rsidRPr="007A65D9">
        <w:rPr>
          <w:rFonts w:ascii="Times New Roman" w:hAnsi="Times New Roman" w:cs="Times New Roman"/>
          <w:bCs/>
          <w:i/>
          <w:sz w:val="24"/>
          <w:szCs w:val="24"/>
        </w:rPr>
        <w:t xml:space="preserve">В </w:t>
      </w:r>
      <w:r w:rsidR="007A65D9" w:rsidRPr="007A65D9">
        <w:rPr>
          <w:rFonts w:ascii="Times New Roman" w:hAnsi="Times New Roman" w:cs="Times New Roman"/>
          <w:bCs/>
          <w:i/>
          <w:sz w:val="24"/>
          <w:szCs w:val="24"/>
        </w:rPr>
        <w:t>ДЕО</w:t>
      </w:r>
      <w:r w:rsidRPr="007A65D9">
        <w:rPr>
          <w:rFonts w:ascii="Times New Roman" w:hAnsi="Times New Roman" w:cs="Times New Roman"/>
          <w:bCs/>
          <w:i/>
          <w:sz w:val="24"/>
          <w:szCs w:val="24"/>
        </w:rPr>
        <w:t xml:space="preserve"> подточката ще бъде разгледана подробно. Ще се представи информация за територията на страната за състоянието на растителността към настоящия момент, </w:t>
      </w:r>
      <w:r w:rsidRPr="007A65D9">
        <w:rPr>
          <w:rFonts w:ascii="Times New Roman" w:hAnsi="Times New Roman" w:cs="Times New Roman"/>
          <w:bCs/>
          <w:i/>
          <w:sz w:val="24"/>
          <w:szCs w:val="24"/>
        </w:rPr>
        <w:lastRenderedPageBreak/>
        <w:t>в т.ч. за потенциално въздействие върху видове, растения включени в Приложение 3 на ЗБР, върху типовете природни местообитания и растителни съобщества с консервационна значимост и др.</w:t>
      </w:r>
    </w:p>
    <w:p w14:paraId="2401813D" w14:textId="77777777" w:rsidR="007977A1" w:rsidRPr="007A65D9" w:rsidRDefault="007977A1" w:rsidP="001D33CA">
      <w:pPr>
        <w:spacing w:after="0" w:line="276" w:lineRule="auto"/>
        <w:ind w:firstLine="709"/>
        <w:jc w:val="both"/>
        <w:rPr>
          <w:rFonts w:ascii="Times New Roman" w:hAnsi="Times New Roman" w:cs="Times New Roman"/>
          <w:bCs/>
          <w:sz w:val="24"/>
          <w:szCs w:val="24"/>
          <w:highlight w:val="yellow"/>
        </w:rPr>
      </w:pPr>
    </w:p>
    <w:bookmarkEnd w:id="32"/>
    <w:p w14:paraId="68C7CF15" w14:textId="77777777" w:rsidR="007977A1" w:rsidRPr="007A65D9" w:rsidRDefault="007977A1" w:rsidP="004F15F5">
      <w:pPr>
        <w:pStyle w:val="Heading5"/>
        <w:numPr>
          <w:ilvl w:val="2"/>
          <w:numId w:val="8"/>
        </w:numPr>
        <w:spacing w:line="276" w:lineRule="auto"/>
        <w:ind w:left="0" w:firstLine="709"/>
        <w:jc w:val="both"/>
        <w:rPr>
          <w:rFonts w:ascii="Times New Roman" w:hAnsi="Times New Roman" w:cs="Times New Roman"/>
          <w:b/>
          <w:i/>
          <w:color w:val="auto"/>
          <w:sz w:val="24"/>
        </w:rPr>
      </w:pPr>
      <w:r w:rsidRPr="007A65D9">
        <w:rPr>
          <w:rFonts w:ascii="Times New Roman" w:hAnsi="Times New Roman" w:cs="Times New Roman"/>
          <w:b/>
          <w:i/>
          <w:color w:val="auto"/>
          <w:sz w:val="24"/>
        </w:rPr>
        <w:t xml:space="preserve">Състояние на животинския свят </w:t>
      </w:r>
    </w:p>
    <w:p w14:paraId="5460553C" w14:textId="77777777" w:rsidR="000719C6" w:rsidRPr="007A65D9" w:rsidRDefault="000719C6" w:rsidP="000719C6">
      <w:pPr>
        <w:spacing w:after="0" w:line="276" w:lineRule="auto"/>
        <w:ind w:firstLine="709"/>
        <w:jc w:val="both"/>
        <w:rPr>
          <w:rFonts w:ascii="Times New Roman" w:hAnsi="Times New Roman" w:cs="Times New Roman"/>
          <w:bCs/>
          <w:sz w:val="24"/>
          <w:szCs w:val="24"/>
        </w:rPr>
      </w:pPr>
      <w:r w:rsidRPr="007A65D9">
        <w:rPr>
          <w:rFonts w:ascii="Times New Roman" w:hAnsi="Times New Roman" w:cs="Times New Roman"/>
          <w:bCs/>
          <w:sz w:val="24"/>
          <w:szCs w:val="24"/>
        </w:rPr>
        <w:t>България е обитавана от богата и разнообразна фауна като следствие от кръстопътното положение на страната между Централна Европа, Средиземноморието, Украино-Казахската степ и Малоазийско-Кавказкия район. На нейната територия се срещат както северноевропейски и степни елементи, така и средиземноморски видове животни.</w:t>
      </w:r>
    </w:p>
    <w:p w14:paraId="0EB2BB43" w14:textId="77777777" w:rsidR="000719C6" w:rsidRPr="007A65D9" w:rsidRDefault="000719C6" w:rsidP="000719C6">
      <w:pPr>
        <w:spacing w:after="0" w:line="276" w:lineRule="auto"/>
        <w:ind w:firstLine="709"/>
        <w:jc w:val="both"/>
        <w:rPr>
          <w:rFonts w:ascii="Times New Roman" w:hAnsi="Times New Roman" w:cs="Times New Roman"/>
          <w:bCs/>
          <w:sz w:val="24"/>
          <w:szCs w:val="24"/>
        </w:rPr>
      </w:pPr>
      <w:r w:rsidRPr="007A65D9">
        <w:rPr>
          <w:rFonts w:ascii="Times New Roman" w:hAnsi="Times New Roman" w:cs="Times New Roman"/>
          <w:bCs/>
          <w:sz w:val="24"/>
          <w:szCs w:val="24"/>
        </w:rPr>
        <w:t>България е в центъра на Балканския полуостров, който е едно от основните средища на видообразуване в Европа. Значителна част от фауната ни представляват балканските ендемити, особено при видовете, които представляват интерес в консервационно отношение. В състава на фауната на Черно море има реликтни видове и такива, проникнали от Атлантическия океан и от Средиземно море, а също и животни - нашественици от други райони на Световния океан, които оказват съществено влияние върху черноморската екосистема.</w:t>
      </w:r>
    </w:p>
    <w:p w14:paraId="79C6B25B" w14:textId="77777777" w:rsidR="000719C6" w:rsidRPr="007A65D9" w:rsidRDefault="000719C6" w:rsidP="000719C6">
      <w:pPr>
        <w:spacing w:after="0" w:line="276" w:lineRule="auto"/>
        <w:ind w:firstLine="709"/>
        <w:jc w:val="both"/>
        <w:rPr>
          <w:rFonts w:ascii="Times New Roman" w:hAnsi="Times New Roman" w:cs="Times New Roman"/>
          <w:bCs/>
          <w:sz w:val="24"/>
          <w:szCs w:val="24"/>
        </w:rPr>
      </w:pPr>
      <w:r w:rsidRPr="007A65D9">
        <w:rPr>
          <w:rFonts w:ascii="Times New Roman" w:hAnsi="Times New Roman" w:cs="Times New Roman"/>
          <w:bCs/>
          <w:sz w:val="24"/>
          <w:szCs w:val="24"/>
        </w:rPr>
        <w:t>Сладководната фауна е изградена от представители на 10 типа животни с изключително голям брой видове едноклетъчни, водни гъби, мешести и ктенофори, плоски червеи, кръгли червеи, киноринхи, ротатории и др. Това разнообразие все още е слабо проучено (Големански и др. 2005).</w:t>
      </w:r>
    </w:p>
    <w:p w14:paraId="56B55607" w14:textId="77777777" w:rsidR="000719C6" w:rsidRPr="007A65D9" w:rsidRDefault="000719C6" w:rsidP="000719C6">
      <w:pPr>
        <w:spacing w:after="0" w:line="276" w:lineRule="auto"/>
        <w:ind w:firstLine="709"/>
        <w:jc w:val="both"/>
        <w:rPr>
          <w:rFonts w:ascii="Times New Roman" w:hAnsi="Times New Roman" w:cs="Times New Roman"/>
          <w:bCs/>
          <w:sz w:val="24"/>
          <w:szCs w:val="24"/>
        </w:rPr>
      </w:pPr>
      <w:r w:rsidRPr="007A65D9">
        <w:rPr>
          <w:rFonts w:ascii="Times New Roman" w:hAnsi="Times New Roman" w:cs="Times New Roman"/>
          <w:bCs/>
          <w:sz w:val="24"/>
          <w:szCs w:val="24"/>
        </w:rPr>
        <w:t>Особено чувствителни към промените в природната среда са арахнидите (скорпиони, паяци и др.). Те са недостатъчно проучени, макар вече да се знае, че сред тях има не малко български и балкански ендемити, някои застрашени от изчезване (Делчев и др. 2005). За България са съобщени всички разреди и подразреди акари, които теоретично могат да се очакват. Тяхното видово разнообразие е изключително високо.</w:t>
      </w:r>
    </w:p>
    <w:p w14:paraId="05B225E2" w14:textId="77777777" w:rsidR="000719C6" w:rsidRPr="007A65D9" w:rsidRDefault="000719C6" w:rsidP="000719C6">
      <w:pPr>
        <w:spacing w:after="0" w:line="276" w:lineRule="auto"/>
        <w:ind w:firstLine="709"/>
        <w:jc w:val="both"/>
        <w:rPr>
          <w:rFonts w:ascii="Times New Roman" w:hAnsi="Times New Roman" w:cs="Times New Roman"/>
          <w:bCs/>
          <w:sz w:val="24"/>
          <w:szCs w:val="24"/>
        </w:rPr>
      </w:pPr>
      <w:r w:rsidRPr="007A65D9">
        <w:rPr>
          <w:rFonts w:ascii="Times New Roman" w:hAnsi="Times New Roman" w:cs="Times New Roman"/>
          <w:bCs/>
          <w:sz w:val="24"/>
          <w:szCs w:val="24"/>
        </w:rPr>
        <w:t>Не по-малко е и ентомофаунистичното разнообразие. Установените в България насекоми принадлежат към 2 класа, 30 разреда, и 583 семейства, а видовото богатство е десетки хиляди, като не малко са редки български и балкански ендемити и реликти (Берон 2005а).</w:t>
      </w:r>
    </w:p>
    <w:p w14:paraId="1E6412B0" w14:textId="77777777" w:rsidR="000719C6" w:rsidRPr="007A65D9" w:rsidRDefault="000719C6" w:rsidP="000719C6">
      <w:pPr>
        <w:spacing w:after="0" w:line="276" w:lineRule="auto"/>
        <w:ind w:firstLine="709"/>
        <w:jc w:val="both"/>
        <w:rPr>
          <w:rFonts w:ascii="Times New Roman" w:hAnsi="Times New Roman" w:cs="Times New Roman"/>
          <w:bCs/>
          <w:sz w:val="24"/>
          <w:szCs w:val="24"/>
        </w:rPr>
      </w:pPr>
      <w:r w:rsidRPr="007A65D9">
        <w:rPr>
          <w:rFonts w:ascii="Times New Roman" w:hAnsi="Times New Roman" w:cs="Times New Roman"/>
          <w:bCs/>
          <w:sz w:val="24"/>
          <w:szCs w:val="24"/>
        </w:rPr>
        <w:t xml:space="preserve">Малакофаунистичното разнообразие на България е представено от 445 вида мекотели. От тях около 25 % са черноморски, 21 % са сладководни и 54 % са сухоземни видове. Част от таксоните са консервационно значими (Хубенов 2005). Рибите у нас са представени от 218 вида от 59 семейства.  България е една от страните в Европа с най-високо биоразнообразие на земноводни и влечуги – 56 вида (7 вида опашати земноводни, 12 вида безопашати земноводни, 6 вида костенурки, 13 вида гущери, 18 вида змии). От тях през миналия век два вида змии са изчезнали, а за два вида морски костенурки са регистрирани само единични екземпляри. Всичките днешни 52 вида са включени в Приложенията на Бернската конвенция, 42 вида са защитени от ЗБР, 12 вида са включени в “Червена книга на Р България” (2011) като редки и застрашени. Състоянието на някои от тях продължава </w:t>
      </w:r>
      <w:r w:rsidRPr="007A65D9">
        <w:rPr>
          <w:rFonts w:ascii="Times New Roman" w:hAnsi="Times New Roman" w:cs="Times New Roman"/>
          <w:bCs/>
          <w:sz w:val="24"/>
          <w:szCs w:val="24"/>
        </w:rPr>
        <w:lastRenderedPageBreak/>
        <w:t>да се влошава поради увеличаване на антропогенния натиск (Бисерков 2007, Бисерков и др. 2005).</w:t>
      </w:r>
    </w:p>
    <w:p w14:paraId="002DBDA3" w14:textId="77777777" w:rsidR="000719C6" w:rsidRPr="007A65D9" w:rsidRDefault="000719C6" w:rsidP="000719C6">
      <w:pPr>
        <w:spacing w:after="0" w:line="276" w:lineRule="auto"/>
        <w:ind w:firstLine="709"/>
        <w:jc w:val="both"/>
        <w:rPr>
          <w:rFonts w:ascii="Times New Roman" w:hAnsi="Times New Roman" w:cs="Times New Roman"/>
          <w:bCs/>
          <w:sz w:val="24"/>
          <w:szCs w:val="24"/>
        </w:rPr>
      </w:pPr>
      <w:r w:rsidRPr="007A65D9">
        <w:rPr>
          <w:rFonts w:ascii="Times New Roman" w:hAnsi="Times New Roman" w:cs="Times New Roman"/>
          <w:bCs/>
          <w:sz w:val="24"/>
          <w:szCs w:val="24"/>
        </w:rPr>
        <w:t>В България са едни от най-богатите в орнитологично отношение места в Европа. Опазването на птиците е сред главните приоритети за съхраняване на българското биоразнообразие. Налага се да се отделя особено внимание на опазването на значимите им природни местообитания, тъй като това е един от най-ефективните начини и за опазването на птиците (Иванов, Янков 2005).</w:t>
      </w:r>
    </w:p>
    <w:p w14:paraId="75D0C591" w14:textId="77777777" w:rsidR="000719C6" w:rsidRPr="007A65D9" w:rsidRDefault="000719C6" w:rsidP="000719C6">
      <w:pPr>
        <w:spacing w:after="0" w:line="276" w:lineRule="auto"/>
        <w:ind w:firstLine="709"/>
        <w:jc w:val="both"/>
        <w:rPr>
          <w:rFonts w:ascii="Times New Roman" w:hAnsi="Times New Roman" w:cs="Times New Roman"/>
          <w:bCs/>
          <w:sz w:val="24"/>
          <w:szCs w:val="24"/>
        </w:rPr>
      </w:pPr>
      <w:r w:rsidRPr="007A65D9">
        <w:rPr>
          <w:rFonts w:ascii="Times New Roman" w:hAnsi="Times New Roman" w:cs="Times New Roman"/>
          <w:bCs/>
          <w:sz w:val="24"/>
          <w:szCs w:val="24"/>
        </w:rPr>
        <w:t>По отношение на бозайниците България също е сред най-богатите на видове страни на континента. В страната има около 100 вида бозайници, като към този брой може да се причисляват видове, зависими от човека, и видове със спорно присъствие в момента (Попов, Седефчев 2003). Сред тях 46 вида са консервационно значими (Попов и др. 2007). Особено внимание се отделя за опазване на природните местообитания на прилепите - те са сред най-силно нуждаещите се от защита групи гръбначни животни поради тенденцията за бързо намаляване на тяхната численост и видово разнообразие. На територията на страната са определени 13 района с особена консервационна значимост за бозайниците, както и за популациите на много видове от други групи животни. Те са обект на опазване по българското законодателство, но в много от тях, например Странджа, Западни и Средни Родопи и др., икономическите интереси при реализиране на обекти със значително негативно въздействие върху околната среда надделяват и застрашават сериозно опазването не само на бозайниците, но и на много други видове от фауната на България (Спиридонов, Спасов 2005).</w:t>
      </w:r>
    </w:p>
    <w:p w14:paraId="65384416" w14:textId="77777777" w:rsidR="000719C6" w:rsidRPr="007A65D9" w:rsidRDefault="000719C6" w:rsidP="000719C6">
      <w:pPr>
        <w:spacing w:after="0" w:line="276" w:lineRule="auto"/>
        <w:ind w:firstLine="709"/>
        <w:jc w:val="both"/>
        <w:rPr>
          <w:rFonts w:ascii="Times New Roman" w:hAnsi="Times New Roman" w:cs="Times New Roman"/>
          <w:bCs/>
          <w:sz w:val="24"/>
          <w:szCs w:val="24"/>
        </w:rPr>
      </w:pPr>
      <w:r w:rsidRPr="007A65D9">
        <w:rPr>
          <w:rFonts w:ascii="Times New Roman" w:hAnsi="Times New Roman" w:cs="Times New Roman"/>
          <w:bCs/>
          <w:sz w:val="24"/>
          <w:szCs w:val="24"/>
        </w:rPr>
        <w:t>България е разположена в един от най-богатите на пещерна фауна райони и нейното опазване е приоритетно, но и този компонент от природата не е извън икономическите интереси, което налага по-строг контрол върху антропогенното въздействие. Увреждането или унищожаването на естествените местообитания, безпокойството, прякото и непряко унищожение на диви животни нарушават качествено и количествено разнообразието на видове на българската фауна (Иванова 2005; Берон 2005б).</w:t>
      </w:r>
    </w:p>
    <w:p w14:paraId="3A98E452" w14:textId="77777777" w:rsidR="000719C6" w:rsidRPr="007A65D9" w:rsidRDefault="000719C6" w:rsidP="000719C6">
      <w:pPr>
        <w:spacing w:after="0" w:line="276" w:lineRule="auto"/>
        <w:ind w:firstLine="709"/>
        <w:jc w:val="both"/>
        <w:rPr>
          <w:rFonts w:ascii="Times New Roman" w:hAnsi="Times New Roman" w:cs="Times New Roman"/>
          <w:bCs/>
          <w:sz w:val="24"/>
          <w:szCs w:val="24"/>
        </w:rPr>
      </w:pPr>
      <w:r w:rsidRPr="007A65D9">
        <w:rPr>
          <w:rFonts w:ascii="Times New Roman" w:hAnsi="Times New Roman" w:cs="Times New Roman"/>
          <w:bCs/>
          <w:sz w:val="24"/>
          <w:szCs w:val="24"/>
        </w:rPr>
        <w:t xml:space="preserve">Много от животинските видове са обект на стопански интерес, което води до намаляване и застрашаване на популациите на голяма част от тях. </w:t>
      </w:r>
    </w:p>
    <w:p w14:paraId="167BFFF3" w14:textId="77777777" w:rsidR="00B04B13" w:rsidRPr="007A65D9" w:rsidRDefault="000719C6" w:rsidP="001D33CA">
      <w:pPr>
        <w:spacing w:after="0" w:line="276" w:lineRule="auto"/>
        <w:ind w:firstLine="709"/>
        <w:jc w:val="both"/>
        <w:rPr>
          <w:rFonts w:ascii="Times New Roman" w:hAnsi="Times New Roman" w:cs="Times New Roman"/>
          <w:bCs/>
          <w:sz w:val="24"/>
          <w:szCs w:val="24"/>
          <w:highlight w:val="yellow"/>
        </w:rPr>
      </w:pPr>
      <w:r w:rsidRPr="007A65D9">
        <w:rPr>
          <w:rFonts w:ascii="Times New Roman" w:hAnsi="Times New Roman" w:cs="Times New Roman"/>
          <w:bCs/>
          <w:i/>
          <w:sz w:val="24"/>
          <w:szCs w:val="24"/>
        </w:rPr>
        <w:t xml:space="preserve">В </w:t>
      </w:r>
      <w:r w:rsidR="007A65D9" w:rsidRPr="007A65D9">
        <w:rPr>
          <w:rFonts w:ascii="Times New Roman" w:hAnsi="Times New Roman" w:cs="Times New Roman"/>
          <w:bCs/>
          <w:i/>
          <w:sz w:val="24"/>
          <w:szCs w:val="24"/>
        </w:rPr>
        <w:t>ДЕО</w:t>
      </w:r>
      <w:r w:rsidRPr="007A65D9">
        <w:rPr>
          <w:rFonts w:ascii="Times New Roman" w:hAnsi="Times New Roman" w:cs="Times New Roman"/>
          <w:bCs/>
          <w:i/>
          <w:sz w:val="24"/>
          <w:szCs w:val="24"/>
        </w:rPr>
        <w:t xml:space="preserve"> подточката ще бъде разгледана подробно</w:t>
      </w:r>
      <w:r w:rsidR="007A65D9" w:rsidRPr="007A65D9">
        <w:rPr>
          <w:rFonts w:ascii="Times New Roman" w:hAnsi="Times New Roman" w:cs="Times New Roman"/>
          <w:bCs/>
          <w:i/>
          <w:sz w:val="24"/>
          <w:szCs w:val="24"/>
        </w:rPr>
        <w:t>.</w:t>
      </w:r>
    </w:p>
    <w:p w14:paraId="2E16BECE" w14:textId="77777777" w:rsidR="007977A1" w:rsidRPr="007A65D9" w:rsidRDefault="007977A1" w:rsidP="001D33CA">
      <w:pPr>
        <w:spacing w:after="0" w:line="276" w:lineRule="auto"/>
        <w:ind w:firstLine="709"/>
        <w:jc w:val="both"/>
        <w:rPr>
          <w:rFonts w:ascii="Times New Roman" w:hAnsi="Times New Roman" w:cs="Times New Roman"/>
          <w:bCs/>
          <w:sz w:val="24"/>
          <w:szCs w:val="24"/>
          <w:highlight w:val="yellow"/>
        </w:rPr>
      </w:pPr>
    </w:p>
    <w:p w14:paraId="39A2C126" w14:textId="77777777" w:rsidR="000E0DAB" w:rsidRPr="007A65D9" w:rsidRDefault="00DA7159" w:rsidP="004F15F5">
      <w:pPr>
        <w:pStyle w:val="Heading5"/>
        <w:numPr>
          <w:ilvl w:val="2"/>
          <w:numId w:val="8"/>
        </w:numPr>
        <w:spacing w:line="276" w:lineRule="auto"/>
        <w:ind w:left="0" w:firstLine="709"/>
        <w:jc w:val="both"/>
        <w:rPr>
          <w:rFonts w:ascii="Times New Roman" w:hAnsi="Times New Roman" w:cs="Times New Roman"/>
          <w:b/>
          <w:i/>
          <w:color w:val="auto"/>
          <w:sz w:val="24"/>
        </w:rPr>
      </w:pPr>
      <w:r w:rsidRPr="007A65D9">
        <w:rPr>
          <w:rFonts w:ascii="Times New Roman" w:hAnsi="Times New Roman" w:cs="Times New Roman"/>
          <w:b/>
          <w:i/>
          <w:color w:val="auto"/>
          <w:sz w:val="24"/>
        </w:rPr>
        <w:t xml:space="preserve">Защитени зони по смисъла на </w:t>
      </w:r>
      <w:r w:rsidR="005C62C5" w:rsidRPr="007A65D9">
        <w:rPr>
          <w:rFonts w:ascii="Times New Roman" w:hAnsi="Times New Roman" w:cs="Times New Roman"/>
          <w:b/>
          <w:i/>
          <w:color w:val="auto"/>
          <w:sz w:val="24"/>
        </w:rPr>
        <w:t>ЗБР</w:t>
      </w:r>
      <w:r w:rsidR="00B04B13" w:rsidRPr="007A65D9">
        <w:rPr>
          <w:rFonts w:ascii="Times New Roman" w:hAnsi="Times New Roman" w:cs="Times New Roman"/>
          <w:b/>
          <w:i/>
          <w:color w:val="auto"/>
          <w:sz w:val="24"/>
        </w:rPr>
        <w:t xml:space="preserve"> </w:t>
      </w:r>
    </w:p>
    <w:p w14:paraId="33D8A041" w14:textId="77777777" w:rsidR="00841AC3" w:rsidRPr="007A65D9" w:rsidRDefault="00841AC3" w:rsidP="00841AC3">
      <w:pPr>
        <w:spacing w:after="0" w:line="276" w:lineRule="auto"/>
        <w:ind w:firstLine="709"/>
        <w:jc w:val="both"/>
        <w:rPr>
          <w:rFonts w:ascii="Times New Roman" w:hAnsi="Times New Roman" w:cs="Times New Roman"/>
          <w:bCs/>
          <w:sz w:val="24"/>
          <w:szCs w:val="24"/>
          <w:highlight w:val="yellow"/>
        </w:rPr>
      </w:pPr>
      <w:r w:rsidRPr="007A65D9">
        <w:rPr>
          <w:rFonts w:ascii="Times New Roman" w:eastAsia="Times New Roman" w:hAnsi="Times New Roman" w:cs="Times New Roman"/>
          <w:sz w:val="24"/>
          <w:szCs w:val="24"/>
          <w:lang w:eastAsia="bg-BG"/>
        </w:rPr>
        <w:t>В зависимост от обектите на опазване – природни комплекси, организми или местообитания, съществуват множество инициативи за създаване на екологични мрежи с различна степен на свързаност – Влажни зони с международно значение, Обекти на световното природно и културно наследство, Орнитологично важни места, Биосферни резервати, Важни за растенията места, Херпетологично важни места, Важни места за дневните пеперуди, Екологичната мрежа ЕМЕРАЛД, Европейска мрежа от биогенетични резервати, мрежа на защитените територии и не на последно място - Европейска екологична мрежа НАТУРА 2000.</w:t>
      </w:r>
    </w:p>
    <w:p w14:paraId="1888A21A" w14:textId="77777777" w:rsidR="00841AC3" w:rsidRPr="007A65D9" w:rsidRDefault="00841AC3" w:rsidP="00841AC3">
      <w:pPr>
        <w:spacing w:after="0" w:line="276" w:lineRule="auto"/>
        <w:jc w:val="both"/>
        <w:rPr>
          <w:rFonts w:ascii="Times New Roman" w:eastAsia="Calibri" w:hAnsi="Times New Roman" w:cs="Times New Roman"/>
          <w:bCs/>
          <w:sz w:val="24"/>
          <w:szCs w:val="24"/>
        </w:rPr>
      </w:pPr>
      <w:r w:rsidRPr="007A65D9">
        <w:rPr>
          <w:rFonts w:ascii="Times New Roman" w:eastAsia="Calibri" w:hAnsi="Times New Roman" w:cs="Times New Roman"/>
          <w:bCs/>
          <w:sz w:val="24"/>
          <w:szCs w:val="24"/>
        </w:rPr>
        <w:lastRenderedPageBreak/>
        <w:tab/>
        <w:t>Съгласно чл. 3 ал. 1 от</w:t>
      </w:r>
      <w:bookmarkStart w:id="33" w:name="_Hlk54691031"/>
      <w:r w:rsidRPr="007A65D9">
        <w:rPr>
          <w:rFonts w:ascii="Times New Roman" w:eastAsia="Calibri" w:hAnsi="Times New Roman" w:cs="Times New Roman"/>
          <w:bCs/>
          <w:sz w:val="24"/>
          <w:szCs w:val="24"/>
        </w:rPr>
        <w:t xml:space="preserve"> ЗБР</w:t>
      </w:r>
      <w:bookmarkEnd w:id="33"/>
      <w:r w:rsidRPr="007A65D9">
        <w:rPr>
          <w:rFonts w:ascii="Times New Roman" w:eastAsia="Calibri" w:hAnsi="Times New Roman" w:cs="Times New Roman"/>
          <w:bCs/>
          <w:sz w:val="24"/>
          <w:szCs w:val="24"/>
        </w:rPr>
        <w:t xml:space="preserve"> – Националната екологична мрежа включва защитените зони по смисъла на ЗБР, защитените територии извън защитените зони, Корине местата, орнитологично важните места, Рамсарските места и важните места за растенията.</w:t>
      </w:r>
    </w:p>
    <w:p w14:paraId="4CBF73AB" w14:textId="77777777" w:rsidR="00841AC3" w:rsidRDefault="00841AC3" w:rsidP="007A65D9">
      <w:pPr>
        <w:spacing w:after="0" w:line="276" w:lineRule="auto"/>
        <w:ind w:firstLine="709"/>
        <w:jc w:val="both"/>
        <w:rPr>
          <w:rFonts w:ascii="Times New Roman" w:eastAsia="Times New Roman" w:hAnsi="Times New Roman" w:cs="Times New Roman"/>
          <w:sz w:val="24"/>
          <w:szCs w:val="24"/>
          <w:lang w:eastAsia="bg-BG"/>
        </w:rPr>
      </w:pPr>
      <w:r w:rsidRPr="007A65D9">
        <w:rPr>
          <w:rFonts w:ascii="Times New Roman" w:eastAsia="Calibri" w:hAnsi="Times New Roman" w:cs="Times New Roman"/>
          <w:bCs/>
          <w:sz w:val="24"/>
          <w:szCs w:val="24"/>
        </w:rPr>
        <w:tab/>
      </w:r>
      <w:r w:rsidRPr="007A65D9">
        <w:rPr>
          <w:rFonts w:ascii="Times New Roman" w:eastAsia="Times New Roman" w:hAnsi="Times New Roman" w:cs="Times New Roman"/>
          <w:sz w:val="24"/>
          <w:szCs w:val="24"/>
          <w:lang w:eastAsia="bg-BG"/>
        </w:rPr>
        <w:t>Европейската екологична мрежа НАТУРА 2000  е общоевропейска система от защитени зони и екологични коридори, определени на базата на научни критерии, в изпълнение на директивите на Европейския съюз – 2009/147/ЕО за опазване на дивите птици и 92/43/ЕИО за опазване на природните местообитания и на местообитанията на дивата флора и фауна. Мерките за опазване, посочени в тези директиви, определят изграждане на функционално единна мрежа от ключови територии - специални защитени зони (SPA) и зони под специална защита (SCI), свързани с екологични коридори, която да гарантира поддържането и възстановяването на благоприятното природозащитно състояние на природните местообитания и местообитанията на съответните видове в естествените им области на разпространение. Директива 92/43/ЕИО определя правилата, по които се изгражда и функционира екологичната мрежа.</w:t>
      </w:r>
    </w:p>
    <w:p w14:paraId="67C5581C" w14:textId="77777777" w:rsidR="00967623" w:rsidRDefault="00967623" w:rsidP="007A65D9">
      <w:pPr>
        <w:shd w:val="clear" w:color="auto" w:fill="FFFFFF"/>
        <w:spacing w:after="86" w:line="276" w:lineRule="auto"/>
        <w:ind w:firstLine="709"/>
        <w:jc w:val="both"/>
        <w:rPr>
          <w:rFonts w:ascii="Times New Roman" w:eastAsia="Times New Roman" w:hAnsi="Times New Roman" w:cs="Times New Roman"/>
          <w:sz w:val="24"/>
          <w:szCs w:val="24"/>
          <w:lang w:eastAsia="bg-BG"/>
        </w:rPr>
      </w:pPr>
      <w:r w:rsidRPr="00967623">
        <w:rPr>
          <w:rFonts w:ascii="Times New Roman" w:eastAsia="Times New Roman" w:hAnsi="Times New Roman" w:cs="Times New Roman"/>
          <w:sz w:val="24"/>
          <w:szCs w:val="24"/>
          <w:lang w:eastAsia="bg-BG"/>
        </w:rPr>
        <w:t>Местата, попадащи в екологичната мрежа се определят в съответствие с две основни за опазването на околната среда Директиви на Европейския съюз – </w:t>
      </w:r>
      <w:hyperlink r:id="rId21" w:history="1">
        <w:r w:rsidRPr="00967623">
          <w:rPr>
            <w:rFonts w:ascii="Times New Roman" w:eastAsia="Times New Roman" w:hAnsi="Times New Roman" w:cs="Times New Roman"/>
            <w:sz w:val="24"/>
            <w:szCs w:val="24"/>
            <w:lang w:eastAsia="bg-BG"/>
          </w:rPr>
          <w:t>Директива 92/43/ЕИО</w:t>
        </w:r>
      </w:hyperlink>
      <w:r>
        <w:rPr>
          <w:rFonts w:ascii="Times New Roman" w:eastAsia="Times New Roman" w:hAnsi="Times New Roman" w:cs="Times New Roman"/>
          <w:b/>
          <w:bCs/>
          <w:sz w:val="24"/>
          <w:szCs w:val="24"/>
          <w:lang w:eastAsia="bg-BG"/>
        </w:rPr>
        <w:t xml:space="preserve"> </w:t>
      </w:r>
      <w:r w:rsidRPr="00967623">
        <w:rPr>
          <w:rFonts w:ascii="Times New Roman" w:eastAsia="Times New Roman" w:hAnsi="Times New Roman" w:cs="Times New Roman"/>
          <w:sz w:val="24"/>
          <w:szCs w:val="24"/>
          <w:lang w:eastAsia="bg-BG"/>
        </w:rPr>
        <w:t>за опазване на природните местообитания и на дивата флора и фауна (наричана накратко Директива за местообитанията) и</w:t>
      </w:r>
      <w:r>
        <w:rPr>
          <w:rFonts w:ascii="Times New Roman" w:eastAsia="Times New Roman" w:hAnsi="Times New Roman" w:cs="Times New Roman"/>
          <w:sz w:val="24"/>
          <w:szCs w:val="24"/>
          <w:lang w:eastAsia="bg-BG"/>
        </w:rPr>
        <w:t xml:space="preserve"> </w:t>
      </w:r>
      <w:hyperlink r:id="rId22" w:history="1">
        <w:r w:rsidRPr="00967623">
          <w:rPr>
            <w:rFonts w:ascii="Times New Roman" w:eastAsia="Times New Roman" w:hAnsi="Times New Roman" w:cs="Times New Roman"/>
            <w:sz w:val="24"/>
            <w:szCs w:val="24"/>
            <w:lang w:eastAsia="bg-BG"/>
          </w:rPr>
          <w:t>Директива 2009/147/ЕО</w:t>
        </w:r>
      </w:hyperlink>
      <w:r>
        <w:rPr>
          <w:rFonts w:ascii="Times New Roman" w:eastAsia="Times New Roman" w:hAnsi="Times New Roman" w:cs="Times New Roman"/>
          <w:b/>
          <w:bCs/>
          <w:sz w:val="24"/>
          <w:szCs w:val="24"/>
          <w:lang w:eastAsia="bg-BG"/>
        </w:rPr>
        <w:t xml:space="preserve"> </w:t>
      </w:r>
      <w:r w:rsidRPr="00967623">
        <w:rPr>
          <w:rFonts w:ascii="Times New Roman" w:eastAsia="Times New Roman" w:hAnsi="Times New Roman" w:cs="Times New Roman"/>
          <w:sz w:val="24"/>
          <w:szCs w:val="24"/>
          <w:lang w:eastAsia="bg-BG"/>
        </w:rPr>
        <w:t>относно опазването на дивите птици (наричана накратко Директива за птиците).</w:t>
      </w:r>
    </w:p>
    <w:p w14:paraId="18D22714" w14:textId="77777777" w:rsidR="007A65D9" w:rsidRPr="007A65D9" w:rsidRDefault="007A65D9" w:rsidP="007A65D9">
      <w:pPr>
        <w:shd w:val="clear" w:color="auto" w:fill="FFFFFF"/>
        <w:spacing w:after="86" w:line="276" w:lineRule="auto"/>
        <w:ind w:firstLine="709"/>
        <w:jc w:val="both"/>
        <w:rPr>
          <w:rFonts w:ascii="Times New Roman" w:eastAsia="Times New Roman" w:hAnsi="Times New Roman" w:cs="Times New Roman"/>
          <w:sz w:val="24"/>
          <w:szCs w:val="24"/>
          <w:lang w:eastAsia="bg-BG"/>
        </w:rPr>
      </w:pPr>
      <w:r w:rsidRPr="007A65D9">
        <w:rPr>
          <w:rFonts w:ascii="Times New Roman" w:eastAsia="Times New Roman" w:hAnsi="Times New Roman" w:cs="Times New Roman"/>
          <w:sz w:val="24"/>
          <w:szCs w:val="24"/>
          <w:lang w:eastAsia="bg-BG"/>
        </w:rPr>
        <w:t xml:space="preserve">Към момента мрежата от защитени зони </w:t>
      </w:r>
      <w:r>
        <w:rPr>
          <w:rFonts w:ascii="Times New Roman" w:eastAsia="Times New Roman" w:hAnsi="Times New Roman" w:cs="Times New Roman"/>
          <w:sz w:val="24"/>
          <w:szCs w:val="24"/>
          <w:lang w:eastAsia="bg-BG"/>
        </w:rPr>
        <w:t xml:space="preserve">в Република България включва </w:t>
      </w:r>
      <w:r w:rsidRPr="007A65D9">
        <w:rPr>
          <w:rFonts w:ascii="Times New Roman" w:eastAsia="Times New Roman" w:hAnsi="Times New Roman" w:cs="Times New Roman"/>
          <w:sz w:val="24"/>
          <w:szCs w:val="24"/>
          <w:lang w:eastAsia="bg-BG"/>
        </w:rPr>
        <w:t>120 защитени зони за опазване на дивите птици, покриващи 23</w:t>
      </w:r>
      <w:r>
        <w:rPr>
          <w:rFonts w:ascii="Times New Roman" w:eastAsia="Times New Roman" w:hAnsi="Times New Roman" w:cs="Times New Roman"/>
          <w:sz w:val="24"/>
          <w:szCs w:val="24"/>
          <w:lang w:eastAsia="bg-BG"/>
        </w:rPr>
        <w:t xml:space="preserve">.1 % от територията на България и </w:t>
      </w:r>
      <w:r w:rsidRPr="007A65D9">
        <w:rPr>
          <w:rFonts w:ascii="Times New Roman" w:eastAsia="Times New Roman" w:hAnsi="Times New Roman" w:cs="Times New Roman"/>
          <w:sz w:val="24"/>
          <w:szCs w:val="24"/>
          <w:lang w:eastAsia="bg-BG"/>
        </w:rPr>
        <w:t>233 защитени зони за опазване на природни местообитания, покриващи 30,3 % от територията на България</w:t>
      </w:r>
    </w:p>
    <w:tbl>
      <w:tblPr>
        <w:tblW w:w="8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313"/>
        <w:gridCol w:w="1094"/>
        <w:gridCol w:w="1027"/>
        <w:gridCol w:w="1305"/>
        <w:gridCol w:w="1279"/>
        <w:gridCol w:w="1452"/>
      </w:tblGrid>
      <w:tr w:rsidR="007A65D9" w:rsidRPr="007A65D9" w14:paraId="678F8EAA" w14:textId="77777777" w:rsidTr="0013220F">
        <w:trPr>
          <w:jc w:val="center"/>
        </w:trPr>
        <w:tc>
          <w:tcPr>
            <w:tcW w:w="2417" w:type="dxa"/>
            <w:shd w:val="clear" w:color="auto" w:fill="D9E2F3" w:themeFill="accent5" w:themeFillTint="33"/>
            <w:tcMar>
              <w:top w:w="0" w:type="dxa"/>
              <w:left w:w="0" w:type="dxa"/>
              <w:bottom w:w="0" w:type="dxa"/>
              <w:right w:w="0" w:type="dxa"/>
            </w:tcMar>
            <w:vAlign w:val="center"/>
            <w:hideMark/>
          </w:tcPr>
          <w:p w14:paraId="5131FC3D" w14:textId="77777777" w:rsidR="007A65D9" w:rsidRPr="0013220F" w:rsidRDefault="007A65D9" w:rsidP="0013220F">
            <w:pPr>
              <w:spacing w:after="0" w:line="240" w:lineRule="auto"/>
              <w:rPr>
                <w:rFonts w:ascii="Times New Roman" w:eastAsia="Times New Roman" w:hAnsi="Times New Roman" w:cs="Times New Roman"/>
                <w:b/>
                <w:bCs/>
                <w:color w:val="000000"/>
                <w:sz w:val="24"/>
                <w:szCs w:val="24"/>
                <w:lang w:eastAsia="bg-BG"/>
              </w:rPr>
            </w:pPr>
            <w:r w:rsidRPr="0013220F">
              <w:rPr>
                <w:rFonts w:ascii="Times New Roman" w:eastAsia="Times New Roman" w:hAnsi="Times New Roman" w:cs="Times New Roman"/>
                <w:b/>
                <w:bCs/>
                <w:color w:val="000000"/>
                <w:sz w:val="24"/>
                <w:szCs w:val="24"/>
                <w:lang w:eastAsia="bg-BG"/>
              </w:rPr>
              <w:t> </w:t>
            </w:r>
          </w:p>
        </w:tc>
        <w:tc>
          <w:tcPr>
            <w:tcW w:w="1150" w:type="dxa"/>
            <w:shd w:val="clear" w:color="auto" w:fill="D9E2F3" w:themeFill="accent5" w:themeFillTint="33"/>
            <w:tcMar>
              <w:top w:w="0" w:type="dxa"/>
              <w:left w:w="0" w:type="dxa"/>
              <w:bottom w:w="0" w:type="dxa"/>
              <w:right w:w="0" w:type="dxa"/>
            </w:tcMar>
            <w:vAlign w:val="center"/>
            <w:hideMark/>
          </w:tcPr>
          <w:p w14:paraId="05A67F10" w14:textId="77777777" w:rsidR="007A65D9" w:rsidRPr="0013220F" w:rsidRDefault="007A65D9" w:rsidP="0013220F">
            <w:pPr>
              <w:spacing w:after="0" w:line="240" w:lineRule="auto"/>
              <w:ind w:left="68"/>
              <w:jc w:val="center"/>
              <w:rPr>
                <w:rFonts w:ascii="Times New Roman" w:eastAsia="Times New Roman" w:hAnsi="Times New Roman" w:cs="Times New Roman"/>
                <w:b/>
                <w:bCs/>
                <w:color w:val="000000"/>
                <w:sz w:val="24"/>
                <w:szCs w:val="24"/>
                <w:lang w:eastAsia="bg-BG"/>
              </w:rPr>
            </w:pPr>
            <w:r w:rsidRPr="0013220F">
              <w:rPr>
                <w:rFonts w:ascii="Times New Roman" w:eastAsia="Times New Roman" w:hAnsi="Times New Roman" w:cs="Times New Roman"/>
                <w:b/>
                <w:bCs/>
                <w:color w:val="000000"/>
                <w:sz w:val="24"/>
                <w:szCs w:val="24"/>
                <w:lang w:eastAsia="bg-BG"/>
              </w:rPr>
              <w:t>Брой на зоните</w:t>
            </w:r>
          </w:p>
        </w:tc>
        <w:tc>
          <w:tcPr>
            <w:tcW w:w="1084" w:type="dxa"/>
            <w:shd w:val="clear" w:color="auto" w:fill="D9E2F3" w:themeFill="accent5" w:themeFillTint="33"/>
            <w:tcMar>
              <w:top w:w="0" w:type="dxa"/>
              <w:left w:w="0" w:type="dxa"/>
              <w:bottom w:w="0" w:type="dxa"/>
              <w:right w:w="0" w:type="dxa"/>
            </w:tcMar>
            <w:vAlign w:val="center"/>
            <w:hideMark/>
          </w:tcPr>
          <w:p w14:paraId="5F65468D" w14:textId="77777777" w:rsidR="007A65D9" w:rsidRPr="0013220F" w:rsidRDefault="007A65D9" w:rsidP="0013220F">
            <w:pPr>
              <w:spacing w:after="0" w:line="240" w:lineRule="auto"/>
              <w:ind w:left="68"/>
              <w:jc w:val="center"/>
              <w:rPr>
                <w:rFonts w:ascii="Times New Roman" w:eastAsia="Times New Roman" w:hAnsi="Times New Roman" w:cs="Times New Roman"/>
                <w:b/>
                <w:bCs/>
                <w:color w:val="000000"/>
                <w:sz w:val="24"/>
                <w:szCs w:val="24"/>
                <w:lang w:eastAsia="bg-BG"/>
              </w:rPr>
            </w:pPr>
            <w:r w:rsidRPr="0013220F">
              <w:rPr>
                <w:rFonts w:ascii="Times New Roman" w:eastAsia="Times New Roman" w:hAnsi="Times New Roman" w:cs="Times New Roman"/>
                <w:b/>
                <w:bCs/>
                <w:color w:val="000000"/>
                <w:sz w:val="24"/>
                <w:szCs w:val="24"/>
                <w:lang w:eastAsia="bg-BG"/>
              </w:rPr>
              <w:t>Площ (ha)</w:t>
            </w:r>
          </w:p>
        </w:tc>
        <w:tc>
          <w:tcPr>
            <w:tcW w:w="1314" w:type="dxa"/>
            <w:shd w:val="clear" w:color="auto" w:fill="D9E2F3" w:themeFill="accent5" w:themeFillTint="33"/>
            <w:tcMar>
              <w:top w:w="0" w:type="dxa"/>
              <w:left w:w="0" w:type="dxa"/>
              <w:bottom w:w="0" w:type="dxa"/>
              <w:right w:w="0" w:type="dxa"/>
            </w:tcMar>
            <w:vAlign w:val="center"/>
            <w:hideMark/>
          </w:tcPr>
          <w:p w14:paraId="4B5082D6" w14:textId="77777777" w:rsidR="007A65D9" w:rsidRPr="0013220F" w:rsidRDefault="007A65D9" w:rsidP="0013220F">
            <w:pPr>
              <w:spacing w:after="0" w:line="240" w:lineRule="auto"/>
              <w:ind w:left="68"/>
              <w:jc w:val="center"/>
              <w:rPr>
                <w:rFonts w:ascii="Times New Roman" w:eastAsia="Times New Roman" w:hAnsi="Times New Roman" w:cs="Times New Roman"/>
                <w:b/>
                <w:bCs/>
                <w:color w:val="000000"/>
                <w:sz w:val="24"/>
                <w:szCs w:val="24"/>
                <w:lang w:eastAsia="bg-BG"/>
              </w:rPr>
            </w:pPr>
            <w:r w:rsidRPr="0013220F">
              <w:rPr>
                <w:rFonts w:ascii="Times New Roman" w:eastAsia="Times New Roman" w:hAnsi="Times New Roman" w:cs="Times New Roman"/>
                <w:b/>
                <w:bCs/>
                <w:color w:val="000000"/>
                <w:sz w:val="24"/>
                <w:szCs w:val="24"/>
                <w:lang w:eastAsia="bg-BG"/>
              </w:rPr>
              <w:t>Територия [ha]</w:t>
            </w:r>
          </w:p>
        </w:tc>
        <w:tc>
          <w:tcPr>
            <w:tcW w:w="1172" w:type="dxa"/>
            <w:shd w:val="clear" w:color="auto" w:fill="D9E2F3" w:themeFill="accent5" w:themeFillTint="33"/>
            <w:tcMar>
              <w:top w:w="0" w:type="dxa"/>
              <w:left w:w="0" w:type="dxa"/>
              <w:bottom w:w="0" w:type="dxa"/>
              <w:right w:w="0" w:type="dxa"/>
            </w:tcMar>
            <w:vAlign w:val="center"/>
            <w:hideMark/>
          </w:tcPr>
          <w:p w14:paraId="6AB82FFE" w14:textId="77777777" w:rsidR="007A65D9" w:rsidRPr="0013220F" w:rsidRDefault="007A65D9" w:rsidP="0013220F">
            <w:pPr>
              <w:spacing w:after="0" w:line="240" w:lineRule="auto"/>
              <w:ind w:left="68"/>
              <w:jc w:val="center"/>
              <w:rPr>
                <w:rFonts w:ascii="Times New Roman" w:eastAsia="Times New Roman" w:hAnsi="Times New Roman" w:cs="Times New Roman"/>
                <w:b/>
                <w:bCs/>
                <w:color w:val="000000"/>
                <w:sz w:val="24"/>
                <w:szCs w:val="24"/>
                <w:lang w:eastAsia="bg-BG"/>
              </w:rPr>
            </w:pPr>
            <w:r w:rsidRPr="0013220F">
              <w:rPr>
                <w:rFonts w:ascii="Times New Roman" w:eastAsia="Times New Roman" w:hAnsi="Times New Roman" w:cs="Times New Roman"/>
                <w:b/>
                <w:bCs/>
                <w:color w:val="000000"/>
                <w:sz w:val="24"/>
                <w:szCs w:val="24"/>
                <w:lang w:eastAsia="bg-BG"/>
              </w:rPr>
              <w:t>Акватория [km²]</w:t>
            </w:r>
          </w:p>
        </w:tc>
        <w:tc>
          <w:tcPr>
            <w:tcW w:w="1333" w:type="dxa"/>
            <w:shd w:val="clear" w:color="auto" w:fill="D9E2F3" w:themeFill="accent5" w:themeFillTint="33"/>
            <w:tcMar>
              <w:top w:w="0" w:type="dxa"/>
              <w:left w:w="0" w:type="dxa"/>
              <w:bottom w:w="0" w:type="dxa"/>
              <w:right w:w="0" w:type="dxa"/>
            </w:tcMar>
            <w:vAlign w:val="center"/>
            <w:hideMark/>
          </w:tcPr>
          <w:p w14:paraId="371624D3" w14:textId="77777777" w:rsidR="007A65D9" w:rsidRPr="0013220F" w:rsidRDefault="007A65D9" w:rsidP="0013220F">
            <w:pPr>
              <w:spacing w:after="0" w:line="240" w:lineRule="auto"/>
              <w:ind w:left="68"/>
              <w:jc w:val="center"/>
              <w:rPr>
                <w:rFonts w:ascii="Times New Roman" w:eastAsia="Times New Roman" w:hAnsi="Times New Roman" w:cs="Times New Roman"/>
                <w:b/>
                <w:bCs/>
                <w:color w:val="000000"/>
                <w:sz w:val="24"/>
                <w:szCs w:val="24"/>
                <w:lang w:eastAsia="bg-BG"/>
              </w:rPr>
            </w:pPr>
            <w:r w:rsidRPr="0013220F">
              <w:rPr>
                <w:rFonts w:ascii="Times New Roman" w:eastAsia="Times New Roman" w:hAnsi="Times New Roman" w:cs="Times New Roman"/>
                <w:b/>
                <w:bCs/>
                <w:color w:val="000000"/>
                <w:sz w:val="24"/>
                <w:szCs w:val="24"/>
                <w:lang w:eastAsia="bg-BG"/>
              </w:rPr>
              <w:t>% от територията на България</w:t>
            </w:r>
          </w:p>
        </w:tc>
      </w:tr>
      <w:tr w:rsidR="007A65D9" w:rsidRPr="007A65D9" w14:paraId="12D82C84" w14:textId="77777777" w:rsidTr="007A65D9">
        <w:trPr>
          <w:jc w:val="center"/>
        </w:trPr>
        <w:tc>
          <w:tcPr>
            <w:tcW w:w="2417" w:type="dxa"/>
            <w:shd w:val="clear" w:color="auto" w:fill="FFFFFF"/>
            <w:tcMar>
              <w:top w:w="0" w:type="dxa"/>
              <w:left w:w="0" w:type="dxa"/>
              <w:bottom w:w="0" w:type="dxa"/>
              <w:right w:w="0" w:type="dxa"/>
            </w:tcMar>
            <w:vAlign w:val="center"/>
            <w:hideMark/>
          </w:tcPr>
          <w:p w14:paraId="0960EBB3" w14:textId="77777777" w:rsidR="007A65D9" w:rsidRPr="007A65D9" w:rsidRDefault="007A65D9" w:rsidP="0013220F">
            <w:pPr>
              <w:spacing w:after="0" w:line="240" w:lineRule="auto"/>
              <w:rPr>
                <w:rFonts w:ascii="Times New Roman" w:eastAsia="Times New Roman" w:hAnsi="Times New Roman" w:cs="Times New Roman"/>
                <w:color w:val="000000"/>
                <w:sz w:val="24"/>
                <w:szCs w:val="24"/>
                <w:lang w:eastAsia="bg-BG"/>
              </w:rPr>
            </w:pPr>
            <w:r w:rsidRPr="007A65D9">
              <w:rPr>
                <w:rFonts w:ascii="Times New Roman" w:eastAsia="Times New Roman" w:hAnsi="Times New Roman" w:cs="Times New Roman"/>
                <w:color w:val="000000"/>
                <w:sz w:val="24"/>
                <w:szCs w:val="24"/>
                <w:lang w:eastAsia="bg-BG"/>
              </w:rPr>
              <w:t>Защитени зони по Директивата за местообитанията</w:t>
            </w:r>
          </w:p>
        </w:tc>
        <w:tc>
          <w:tcPr>
            <w:tcW w:w="1150" w:type="dxa"/>
            <w:shd w:val="clear" w:color="auto" w:fill="FFFFFF"/>
            <w:tcMar>
              <w:top w:w="0" w:type="dxa"/>
              <w:left w:w="0" w:type="dxa"/>
              <w:bottom w:w="0" w:type="dxa"/>
              <w:right w:w="0" w:type="dxa"/>
            </w:tcMar>
            <w:vAlign w:val="center"/>
            <w:hideMark/>
          </w:tcPr>
          <w:p w14:paraId="663EE0A1" w14:textId="77777777" w:rsidR="007A65D9" w:rsidRPr="007A65D9" w:rsidRDefault="007A65D9" w:rsidP="0013220F">
            <w:pPr>
              <w:spacing w:after="0" w:line="240" w:lineRule="auto"/>
              <w:jc w:val="center"/>
              <w:rPr>
                <w:rFonts w:ascii="Times New Roman" w:eastAsia="Times New Roman" w:hAnsi="Times New Roman" w:cs="Times New Roman"/>
                <w:color w:val="000000"/>
                <w:sz w:val="24"/>
                <w:szCs w:val="24"/>
                <w:lang w:eastAsia="bg-BG"/>
              </w:rPr>
            </w:pPr>
            <w:r w:rsidRPr="007A65D9">
              <w:rPr>
                <w:rFonts w:ascii="Times New Roman" w:eastAsia="Times New Roman" w:hAnsi="Times New Roman" w:cs="Times New Roman"/>
                <w:color w:val="000000"/>
                <w:sz w:val="24"/>
                <w:szCs w:val="24"/>
                <w:lang w:eastAsia="bg-BG"/>
              </w:rPr>
              <w:t>233</w:t>
            </w:r>
          </w:p>
        </w:tc>
        <w:tc>
          <w:tcPr>
            <w:tcW w:w="1084" w:type="dxa"/>
            <w:shd w:val="clear" w:color="auto" w:fill="FFFFFF"/>
            <w:tcMar>
              <w:top w:w="0" w:type="dxa"/>
              <w:left w:w="0" w:type="dxa"/>
              <w:bottom w:w="0" w:type="dxa"/>
              <w:right w:w="0" w:type="dxa"/>
            </w:tcMar>
            <w:vAlign w:val="center"/>
            <w:hideMark/>
          </w:tcPr>
          <w:p w14:paraId="153C7FF2" w14:textId="77777777" w:rsidR="007A65D9" w:rsidRPr="007A65D9" w:rsidRDefault="007A65D9" w:rsidP="0013220F">
            <w:pPr>
              <w:spacing w:after="0" w:line="240" w:lineRule="auto"/>
              <w:jc w:val="center"/>
              <w:rPr>
                <w:rFonts w:ascii="Times New Roman" w:eastAsia="Times New Roman" w:hAnsi="Times New Roman" w:cs="Times New Roman"/>
                <w:color w:val="000000"/>
                <w:sz w:val="24"/>
                <w:szCs w:val="24"/>
                <w:lang w:eastAsia="bg-BG"/>
              </w:rPr>
            </w:pPr>
            <w:r w:rsidRPr="007A65D9">
              <w:rPr>
                <w:rFonts w:ascii="Times New Roman" w:eastAsia="Times New Roman" w:hAnsi="Times New Roman" w:cs="Times New Roman"/>
                <w:color w:val="000000"/>
                <w:sz w:val="24"/>
                <w:szCs w:val="24"/>
                <w:lang w:eastAsia="bg-BG"/>
              </w:rPr>
              <w:t>3 615 603</w:t>
            </w:r>
          </w:p>
        </w:tc>
        <w:tc>
          <w:tcPr>
            <w:tcW w:w="1314" w:type="dxa"/>
            <w:shd w:val="clear" w:color="auto" w:fill="FFFFFF"/>
            <w:tcMar>
              <w:top w:w="0" w:type="dxa"/>
              <w:left w:w="0" w:type="dxa"/>
              <w:bottom w:w="0" w:type="dxa"/>
              <w:right w:w="0" w:type="dxa"/>
            </w:tcMar>
            <w:vAlign w:val="center"/>
            <w:hideMark/>
          </w:tcPr>
          <w:p w14:paraId="4D051944" w14:textId="77777777" w:rsidR="007A65D9" w:rsidRPr="007A65D9" w:rsidRDefault="007A65D9" w:rsidP="0013220F">
            <w:pPr>
              <w:spacing w:after="0" w:line="240" w:lineRule="auto"/>
              <w:jc w:val="center"/>
              <w:rPr>
                <w:rFonts w:ascii="Times New Roman" w:eastAsia="Times New Roman" w:hAnsi="Times New Roman" w:cs="Times New Roman"/>
                <w:color w:val="000000"/>
                <w:sz w:val="24"/>
                <w:szCs w:val="24"/>
                <w:lang w:eastAsia="bg-BG"/>
              </w:rPr>
            </w:pPr>
            <w:r w:rsidRPr="007A65D9">
              <w:rPr>
                <w:rFonts w:ascii="Times New Roman" w:eastAsia="Times New Roman" w:hAnsi="Times New Roman" w:cs="Times New Roman"/>
                <w:color w:val="000000"/>
                <w:sz w:val="24"/>
                <w:szCs w:val="24"/>
                <w:lang w:eastAsia="bg-BG"/>
              </w:rPr>
              <w:t>3 367 916</w:t>
            </w:r>
          </w:p>
        </w:tc>
        <w:tc>
          <w:tcPr>
            <w:tcW w:w="1172" w:type="dxa"/>
            <w:shd w:val="clear" w:color="auto" w:fill="FFFFFF"/>
            <w:tcMar>
              <w:top w:w="0" w:type="dxa"/>
              <w:left w:w="0" w:type="dxa"/>
              <w:bottom w:w="0" w:type="dxa"/>
              <w:right w:w="0" w:type="dxa"/>
            </w:tcMar>
            <w:vAlign w:val="center"/>
            <w:hideMark/>
          </w:tcPr>
          <w:p w14:paraId="57A721F0" w14:textId="77777777" w:rsidR="007A65D9" w:rsidRPr="007A65D9" w:rsidRDefault="007A65D9" w:rsidP="0013220F">
            <w:pPr>
              <w:spacing w:after="0" w:line="240" w:lineRule="auto"/>
              <w:jc w:val="center"/>
              <w:rPr>
                <w:rFonts w:ascii="Times New Roman" w:eastAsia="Times New Roman" w:hAnsi="Times New Roman" w:cs="Times New Roman"/>
                <w:color w:val="000000"/>
                <w:sz w:val="24"/>
                <w:szCs w:val="24"/>
                <w:lang w:eastAsia="bg-BG"/>
              </w:rPr>
            </w:pPr>
            <w:r w:rsidRPr="007A65D9">
              <w:rPr>
                <w:rFonts w:ascii="Times New Roman" w:eastAsia="Times New Roman" w:hAnsi="Times New Roman" w:cs="Times New Roman"/>
                <w:color w:val="000000"/>
                <w:sz w:val="24"/>
                <w:szCs w:val="24"/>
                <w:lang w:eastAsia="bg-BG"/>
              </w:rPr>
              <w:t>2476.87</w:t>
            </w:r>
          </w:p>
        </w:tc>
        <w:tc>
          <w:tcPr>
            <w:tcW w:w="1333" w:type="dxa"/>
            <w:shd w:val="clear" w:color="auto" w:fill="FFFFFF"/>
            <w:tcMar>
              <w:top w:w="0" w:type="dxa"/>
              <w:left w:w="0" w:type="dxa"/>
              <w:bottom w:w="0" w:type="dxa"/>
              <w:right w:w="0" w:type="dxa"/>
            </w:tcMar>
            <w:vAlign w:val="center"/>
            <w:hideMark/>
          </w:tcPr>
          <w:p w14:paraId="41CDE508" w14:textId="77777777" w:rsidR="007A65D9" w:rsidRPr="007A65D9" w:rsidRDefault="007A65D9" w:rsidP="0013220F">
            <w:pPr>
              <w:spacing w:after="0" w:line="240" w:lineRule="auto"/>
              <w:jc w:val="center"/>
              <w:rPr>
                <w:rFonts w:ascii="Times New Roman" w:eastAsia="Times New Roman" w:hAnsi="Times New Roman" w:cs="Times New Roman"/>
                <w:color w:val="000000"/>
                <w:sz w:val="24"/>
                <w:szCs w:val="24"/>
                <w:lang w:eastAsia="bg-BG"/>
              </w:rPr>
            </w:pPr>
            <w:r w:rsidRPr="007A65D9">
              <w:rPr>
                <w:rFonts w:ascii="Times New Roman" w:eastAsia="Times New Roman" w:hAnsi="Times New Roman" w:cs="Times New Roman"/>
                <w:color w:val="000000"/>
                <w:sz w:val="24"/>
                <w:szCs w:val="24"/>
                <w:lang w:eastAsia="bg-BG"/>
              </w:rPr>
              <w:t>30.3 %</w:t>
            </w:r>
          </w:p>
        </w:tc>
      </w:tr>
      <w:tr w:rsidR="007A65D9" w:rsidRPr="007A65D9" w14:paraId="3F7A185A" w14:textId="77777777" w:rsidTr="007A65D9">
        <w:trPr>
          <w:jc w:val="center"/>
        </w:trPr>
        <w:tc>
          <w:tcPr>
            <w:tcW w:w="2417" w:type="dxa"/>
            <w:shd w:val="clear" w:color="auto" w:fill="FFFFFF"/>
            <w:tcMar>
              <w:top w:w="0" w:type="dxa"/>
              <w:left w:w="0" w:type="dxa"/>
              <w:bottom w:w="0" w:type="dxa"/>
              <w:right w:w="0" w:type="dxa"/>
            </w:tcMar>
            <w:vAlign w:val="center"/>
            <w:hideMark/>
          </w:tcPr>
          <w:p w14:paraId="0A3077CF" w14:textId="77777777" w:rsidR="007A65D9" w:rsidRPr="007A65D9" w:rsidRDefault="007A65D9" w:rsidP="0013220F">
            <w:pPr>
              <w:spacing w:after="0" w:line="240" w:lineRule="auto"/>
              <w:rPr>
                <w:rFonts w:ascii="Times New Roman" w:eastAsia="Times New Roman" w:hAnsi="Times New Roman" w:cs="Times New Roman"/>
                <w:color w:val="000000"/>
                <w:sz w:val="24"/>
                <w:szCs w:val="24"/>
                <w:lang w:eastAsia="bg-BG"/>
              </w:rPr>
            </w:pPr>
            <w:r w:rsidRPr="007A65D9">
              <w:rPr>
                <w:rFonts w:ascii="Times New Roman" w:eastAsia="Times New Roman" w:hAnsi="Times New Roman" w:cs="Times New Roman"/>
                <w:color w:val="000000"/>
                <w:sz w:val="24"/>
                <w:szCs w:val="24"/>
                <w:lang w:eastAsia="bg-BG"/>
              </w:rPr>
              <w:t>Защитени зони по Директивата за дивите птици</w:t>
            </w:r>
          </w:p>
        </w:tc>
        <w:tc>
          <w:tcPr>
            <w:tcW w:w="1150" w:type="dxa"/>
            <w:shd w:val="clear" w:color="auto" w:fill="FFFFFF"/>
            <w:tcMar>
              <w:top w:w="0" w:type="dxa"/>
              <w:left w:w="0" w:type="dxa"/>
              <w:bottom w:w="0" w:type="dxa"/>
              <w:right w:w="0" w:type="dxa"/>
            </w:tcMar>
            <w:vAlign w:val="center"/>
            <w:hideMark/>
          </w:tcPr>
          <w:p w14:paraId="0070E7FE" w14:textId="77777777" w:rsidR="007A65D9" w:rsidRPr="007A65D9" w:rsidRDefault="007A65D9" w:rsidP="0013220F">
            <w:pPr>
              <w:spacing w:after="0" w:line="240" w:lineRule="auto"/>
              <w:jc w:val="center"/>
              <w:rPr>
                <w:rFonts w:ascii="Times New Roman" w:eastAsia="Times New Roman" w:hAnsi="Times New Roman" w:cs="Times New Roman"/>
                <w:color w:val="000000"/>
                <w:sz w:val="24"/>
                <w:szCs w:val="24"/>
                <w:lang w:eastAsia="bg-BG"/>
              </w:rPr>
            </w:pPr>
            <w:r w:rsidRPr="007A65D9">
              <w:rPr>
                <w:rFonts w:ascii="Times New Roman" w:eastAsia="Times New Roman" w:hAnsi="Times New Roman" w:cs="Times New Roman"/>
                <w:color w:val="000000"/>
                <w:sz w:val="24"/>
                <w:szCs w:val="24"/>
                <w:lang w:eastAsia="bg-BG"/>
              </w:rPr>
              <w:t>120</w:t>
            </w:r>
          </w:p>
        </w:tc>
        <w:tc>
          <w:tcPr>
            <w:tcW w:w="1084" w:type="dxa"/>
            <w:shd w:val="clear" w:color="auto" w:fill="FFFFFF"/>
            <w:tcMar>
              <w:top w:w="0" w:type="dxa"/>
              <w:left w:w="0" w:type="dxa"/>
              <w:bottom w:w="0" w:type="dxa"/>
              <w:right w:w="0" w:type="dxa"/>
            </w:tcMar>
            <w:vAlign w:val="center"/>
            <w:hideMark/>
          </w:tcPr>
          <w:p w14:paraId="068099B3" w14:textId="77777777" w:rsidR="007A65D9" w:rsidRPr="007A65D9" w:rsidRDefault="007A65D9" w:rsidP="0013220F">
            <w:pPr>
              <w:spacing w:after="0" w:line="240" w:lineRule="auto"/>
              <w:jc w:val="center"/>
              <w:rPr>
                <w:rFonts w:ascii="Times New Roman" w:eastAsia="Times New Roman" w:hAnsi="Times New Roman" w:cs="Times New Roman"/>
                <w:color w:val="000000"/>
                <w:sz w:val="24"/>
                <w:szCs w:val="24"/>
                <w:lang w:eastAsia="bg-BG"/>
              </w:rPr>
            </w:pPr>
            <w:r w:rsidRPr="007A65D9">
              <w:rPr>
                <w:rFonts w:ascii="Times New Roman" w:eastAsia="Times New Roman" w:hAnsi="Times New Roman" w:cs="Times New Roman"/>
                <w:color w:val="000000"/>
                <w:sz w:val="24"/>
                <w:szCs w:val="24"/>
                <w:lang w:eastAsia="bg-BG"/>
              </w:rPr>
              <w:t>2 616 550</w:t>
            </w:r>
          </w:p>
        </w:tc>
        <w:tc>
          <w:tcPr>
            <w:tcW w:w="1314" w:type="dxa"/>
            <w:shd w:val="clear" w:color="auto" w:fill="FFFFFF"/>
            <w:tcMar>
              <w:top w:w="0" w:type="dxa"/>
              <w:left w:w="0" w:type="dxa"/>
              <w:bottom w:w="0" w:type="dxa"/>
              <w:right w:w="0" w:type="dxa"/>
            </w:tcMar>
            <w:vAlign w:val="center"/>
            <w:hideMark/>
          </w:tcPr>
          <w:p w14:paraId="0E9511C4" w14:textId="77777777" w:rsidR="007A65D9" w:rsidRPr="007A65D9" w:rsidRDefault="007A65D9" w:rsidP="0013220F">
            <w:pPr>
              <w:spacing w:after="0" w:line="240" w:lineRule="auto"/>
              <w:jc w:val="center"/>
              <w:rPr>
                <w:rFonts w:ascii="Times New Roman" w:eastAsia="Times New Roman" w:hAnsi="Times New Roman" w:cs="Times New Roman"/>
                <w:color w:val="000000"/>
                <w:sz w:val="24"/>
                <w:szCs w:val="24"/>
                <w:lang w:eastAsia="bg-BG"/>
              </w:rPr>
            </w:pPr>
            <w:r w:rsidRPr="007A65D9">
              <w:rPr>
                <w:rFonts w:ascii="Times New Roman" w:eastAsia="Times New Roman" w:hAnsi="Times New Roman" w:cs="Times New Roman"/>
                <w:color w:val="000000"/>
                <w:sz w:val="24"/>
                <w:szCs w:val="24"/>
                <w:lang w:eastAsia="bg-BG"/>
              </w:rPr>
              <w:t>2 562 061</w:t>
            </w:r>
          </w:p>
        </w:tc>
        <w:tc>
          <w:tcPr>
            <w:tcW w:w="1172" w:type="dxa"/>
            <w:shd w:val="clear" w:color="auto" w:fill="FFFFFF"/>
            <w:tcMar>
              <w:top w:w="0" w:type="dxa"/>
              <w:left w:w="0" w:type="dxa"/>
              <w:bottom w:w="0" w:type="dxa"/>
              <w:right w:w="0" w:type="dxa"/>
            </w:tcMar>
            <w:vAlign w:val="center"/>
            <w:hideMark/>
          </w:tcPr>
          <w:p w14:paraId="07D751D9" w14:textId="77777777" w:rsidR="007A65D9" w:rsidRPr="007A65D9" w:rsidRDefault="007A65D9" w:rsidP="0013220F">
            <w:pPr>
              <w:spacing w:after="0" w:line="240" w:lineRule="auto"/>
              <w:jc w:val="center"/>
              <w:rPr>
                <w:rFonts w:ascii="Times New Roman" w:eastAsia="Times New Roman" w:hAnsi="Times New Roman" w:cs="Times New Roman"/>
                <w:color w:val="000000"/>
                <w:sz w:val="24"/>
                <w:szCs w:val="24"/>
                <w:lang w:eastAsia="bg-BG"/>
              </w:rPr>
            </w:pPr>
            <w:r w:rsidRPr="007A65D9">
              <w:rPr>
                <w:rFonts w:ascii="Times New Roman" w:eastAsia="Times New Roman" w:hAnsi="Times New Roman" w:cs="Times New Roman"/>
                <w:color w:val="000000"/>
                <w:sz w:val="24"/>
                <w:szCs w:val="24"/>
                <w:lang w:eastAsia="bg-BG"/>
              </w:rPr>
              <w:t>544.89</w:t>
            </w:r>
          </w:p>
        </w:tc>
        <w:tc>
          <w:tcPr>
            <w:tcW w:w="1333" w:type="dxa"/>
            <w:shd w:val="clear" w:color="auto" w:fill="FFFFFF"/>
            <w:tcMar>
              <w:top w:w="0" w:type="dxa"/>
              <w:left w:w="0" w:type="dxa"/>
              <w:bottom w:w="0" w:type="dxa"/>
              <w:right w:w="0" w:type="dxa"/>
            </w:tcMar>
            <w:vAlign w:val="center"/>
            <w:hideMark/>
          </w:tcPr>
          <w:p w14:paraId="6A6BAA88" w14:textId="77777777" w:rsidR="007A65D9" w:rsidRPr="007A65D9" w:rsidRDefault="007A65D9" w:rsidP="0013220F">
            <w:pPr>
              <w:spacing w:after="0" w:line="240" w:lineRule="auto"/>
              <w:jc w:val="center"/>
              <w:rPr>
                <w:rFonts w:ascii="Times New Roman" w:eastAsia="Times New Roman" w:hAnsi="Times New Roman" w:cs="Times New Roman"/>
                <w:color w:val="000000"/>
                <w:sz w:val="24"/>
                <w:szCs w:val="24"/>
                <w:lang w:eastAsia="bg-BG"/>
              </w:rPr>
            </w:pPr>
            <w:r w:rsidRPr="007A65D9">
              <w:rPr>
                <w:rFonts w:ascii="Times New Roman" w:eastAsia="Times New Roman" w:hAnsi="Times New Roman" w:cs="Times New Roman"/>
                <w:color w:val="000000"/>
                <w:sz w:val="24"/>
                <w:szCs w:val="24"/>
                <w:lang w:eastAsia="bg-BG"/>
              </w:rPr>
              <w:t>23.1%</w:t>
            </w:r>
          </w:p>
        </w:tc>
      </w:tr>
      <w:tr w:rsidR="007A65D9" w:rsidRPr="007A65D9" w14:paraId="3AC70F6B" w14:textId="77777777" w:rsidTr="007A65D9">
        <w:trPr>
          <w:jc w:val="center"/>
        </w:trPr>
        <w:tc>
          <w:tcPr>
            <w:tcW w:w="2417" w:type="dxa"/>
            <w:shd w:val="clear" w:color="auto" w:fill="FFFFFF"/>
            <w:tcMar>
              <w:top w:w="0" w:type="dxa"/>
              <w:left w:w="0" w:type="dxa"/>
              <w:bottom w:w="0" w:type="dxa"/>
              <w:right w:w="0" w:type="dxa"/>
            </w:tcMar>
            <w:vAlign w:val="center"/>
            <w:hideMark/>
          </w:tcPr>
          <w:p w14:paraId="4A0504CB" w14:textId="77777777" w:rsidR="007A65D9" w:rsidRPr="007A65D9" w:rsidRDefault="007A65D9" w:rsidP="0013220F">
            <w:pPr>
              <w:spacing w:after="0" w:line="240" w:lineRule="auto"/>
              <w:rPr>
                <w:rFonts w:ascii="Times New Roman" w:eastAsia="Times New Roman" w:hAnsi="Times New Roman" w:cs="Times New Roman"/>
                <w:color w:val="000000"/>
                <w:sz w:val="24"/>
                <w:szCs w:val="24"/>
                <w:lang w:eastAsia="bg-BG"/>
              </w:rPr>
            </w:pPr>
            <w:r w:rsidRPr="007A65D9">
              <w:rPr>
                <w:rFonts w:ascii="Times New Roman" w:eastAsia="Times New Roman" w:hAnsi="Times New Roman" w:cs="Times New Roman"/>
                <w:color w:val="000000"/>
                <w:sz w:val="24"/>
                <w:szCs w:val="24"/>
                <w:lang w:eastAsia="bg-BG"/>
              </w:rPr>
              <w:t>Общо защитени зони „Натура 2000“</w:t>
            </w:r>
          </w:p>
        </w:tc>
        <w:tc>
          <w:tcPr>
            <w:tcW w:w="1150" w:type="dxa"/>
            <w:shd w:val="clear" w:color="auto" w:fill="FFFFFF"/>
            <w:tcMar>
              <w:top w:w="0" w:type="dxa"/>
              <w:left w:w="0" w:type="dxa"/>
              <w:bottom w:w="0" w:type="dxa"/>
              <w:right w:w="0" w:type="dxa"/>
            </w:tcMar>
            <w:vAlign w:val="center"/>
            <w:hideMark/>
          </w:tcPr>
          <w:p w14:paraId="3D95C041" w14:textId="77777777" w:rsidR="007A65D9" w:rsidRPr="007A65D9" w:rsidRDefault="007A65D9" w:rsidP="0013220F">
            <w:pPr>
              <w:spacing w:after="0" w:line="240" w:lineRule="auto"/>
              <w:jc w:val="center"/>
              <w:rPr>
                <w:rFonts w:ascii="Times New Roman" w:eastAsia="Times New Roman" w:hAnsi="Times New Roman" w:cs="Times New Roman"/>
                <w:color w:val="000000"/>
                <w:sz w:val="24"/>
                <w:szCs w:val="24"/>
                <w:lang w:eastAsia="bg-BG"/>
              </w:rPr>
            </w:pPr>
            <w:r w:rsidRPr="007A65D9">
              <w:rPr>
                <w:rFonts w:ascii="Times New Roman" w:eastAsia="Times New Roman" w:hAnsi="Times New Roman" w:cs="Times New Roman"/>
                <w:color w:val="000000"/>
                <w:sz w:val="24"/>
                <w:szCs w:val="24"/>
                <w:lang w:eastAsia="bg-BG"/>
              </w:rPr>
              <w:t>340*</w:t>
            </w:r>
          </w:p>
        </w:tc>
        <w:tc>
          <w:tcPr>
            <w:tcW w:w="1084" w:type="dxa"/>
            <w:shd w:val="clear" w:color="auto" w:fill="FFFFFF"/>
            <w:tcMar>
              <w:top w:w="0" w:type="dxa"/>
              <w:left w:w="0" w:type="dxa"/>
              <w:bottom w:w="0" w:type="dxa"/>
              <w:right w:w="0" w:type="dxa"/>
            </w:tcMar>
            <w:vAlign w:val="center"/>
            <w:hideMark/>
          </w:tcPr>
          <w:p w14:paraId="34FD55A8" w14:textId="77777777" w:rsidR="007A65D9" w:rsidRPr="007A65D9" w:rsidRDefault="007A65D9" w:rsidP="0013220F">
            <w:pPr>
              <w:spacing w:after="0" w:line="240" w:lineRule="auto"/>
              <w:jc w:val="center"/>
              <w:rPr>
                <w:rFonts w:ascii="Times New Roman" w:eastAsia="Times New Roman" w:hAnsi="Times New Roman" w:cs="Times New Roman"/>
                <w:color w:val="000000"/>
                <w:sz w:val="24"/>
                <w:szCs w:val="24"/>
                <w:lang w:eastAsia="bg-BG"/>
              </w:rPr>
            </w:pPr>
            <w:r w:rsidRPr="007A65D9">
              <w:rPr>
                <w:rFonts w:ascii="Times New Roman" w:eastAsia="Times New Roman" w:hAnsi="Times New Roman" w:cs="Times New Roman"/>
                <w:color w:val="000000"/>
                <w:sz w:val="24"/>
                <w:szCs w:val="24"/>
                <w:lang w:eastAsia="bg-BG"/>
              </w:rPr>
              <w:t>4 155 839</w:t>
            </w:r>
          </w:p>
        </w:tc>
        <w:tc>
          <w:tcPr>
            <w:tcW w:w="1314" w:type="dxa"/>
            <w:shd w:val="clear" w:color="auto" w:fill="FFFFFF"/>
            <w:tcMar>
              <w:top w:w="0" w:type="dxa"/>
              <w:left w:w="0" w:type="dxa"/>
              <w:bottom w:w="0" w:type="dxa"/>
              <w:right w:w="0" w:type="dxa"/>
            </w:tcMar>
            <w:vAlign w:val="center"/>
            <w:hideMark/>
          </w:tcPr>
          <w:p w14:paraId="75CBD1EA" w14:textId="77777777" w:rsidR="007A65D9" w:rsidRPr="007A65D9" w:rsidRDefault="007A65D9" w:rsidP="0013220F">
            <w:pPr>
              <w:spacing w:after="0" w:line="240" w:lineRule="auto"/>
              <w:jc w:val="center"/>
              <w:rPr>
                <w:rFonts w:ascii="Times New Roman" w:eastAsia="Times New Roman" w:hAnsi="Times New Roman" w:cs="Times New Roman"/>
                <w:color w:val="000000"/>
                <w:sz w:val="24"/>
                <w:szCs w:val="24"/>
                <w:lang w:eastAsia="bg-BG"/>
              </w:rPr>
            </w:pPr>
            <w:r w:rsidRPr="007A65D9">
              <w:rPr>
                <w:rFonts w:ascii="Times New Roman" w:eastAsia="Times New Roman" w:hAnsi="Times New Roman" w:cs="Times New Roman"/>
                <w:color w:val="000000"/>
                <w:sz w:val="24"/>
                <w:szCs w:val="24"/>
                <w:lang w:eastAsia="bg-BG"/>
              </w:rPr>
              <w:t>3 873 704</w:t>
            </w:r>
          </w:p>
        </w:tc>
        <w:tc>
          <w:tcPr>
            <w:tcW w:w="1172" w:type="dxa"/>
            <w:shd w:val="clear" w:color="auto" w:fill="FFFFFF"/>
            <w:tcMar>
              <w:top w:w="0" w:type="dxa"/>
              <w:left w:w="0" w:type="dxa"/>
              <w:bottom w:w="0" w:type="dxa"/>
              <w:right w:w="0" w:type="dxa"/>
            </w:tcMar>
            <w:vAlign w:val="center"/>
            <w:hideMark/>
          </w:tcPr>
          <w:p w14:paraId="2740ED94" w14:textId="77777777" w:rsidR="007A65D9" w:rsidRPr="007A65D9" w:rsidRDefault="007A65D9" w:rsidP="0013220F">
            <w:pPr>
              <w:spacing w:after="0" w:line="240" w:lineRule="auto"/>
              <w:jc w:val="center"/>
              <w:rPr>
                <w:rFonts w:ascii="Times New Roman" w:eastAsia="Times New Roman" w:hAnsi="Times New Roman" w:cs="Times New Roman"/>
                <w:color w:val="000000"/>
                <w:sz w:val="24"/>
                <w:szCs w:val="24"/>
                <w:lang w:eastAsia="bg-BG"/>
              </w:rPr>
            </w:pPr>
            <w:r w:rsidRPr="007A65D9">
              <w:rPr>
                <w:rFonts w:ascii="Times New Roman" w:eastAsia="Times New Roman" w:hAnsi="Times New Roman" w:cs="Times New Roman"/>
                <w:color w:val="000000"/>
                <w:sz w:val="24"/>
                <w:szCs w:val="24"/>
                <w:lang w:eastAsia="bg-BG"/>
              </w:rPr>
              <w:t>2821.35</w:t>
            </w:r>
          </w:p>
        </w:tc>
        <w:tc>
          <w:tcPr>
            <w:tcW w:w="1333" w:type="dxa"/>
            <w:shd w:val="clear" w:color="auto" w:fill="FFFFFF"/>
            <w:tcMar>
              <w:top w:w="0" w:type="dxa"/>
              <w:left w:w="0" w:type="dxa"/>
              <w:bottom w:w="0" w:type="dxa"/>
              <w:right w:w="0" w:type="dxa"/>
            </w:tcMar>
            <w:vAlign w:val="center"/>
            <w:hideMark/>
          </w:tcPr>
          <w:p w14:paraId="00E70C14" w14:textId="77777777" w:rsidR="007A65D9" w:rsidRPr="007A65D9" w:rsidRDefault="007A65D9" w:rsidP="0013220F">
            <w:pPr>
              <w:spacing w:after="0" w:line="240" w:lineRule="auto"/>
              <w:jc w:val="center"/>
              <w:rPr>
                <w:rFonts w:ascii="Times New Roman" w:eastAsia="Times New Roman" w:hAnsi="Times New Roman" w:cs="Times New Roman"/>
                <w:color w:val="000000"/>
                <w:sz w:val="24"/>
                <w:szCs w:val="24"/>
                <w:lang w:eastAsia="bg-BG"/>
              </w:rPr>
            </w:pPr>
            <w:r w:rsidRPr="007A65D9">
              <w:rPr>
                <w:rFonts w:ascii="Times New Roman" w:eastAsia="Times New Roman" w:hAnsi="Times New Roman" w:cs="Times New Roman"/>
                <w:color w:val="000000"/>
                <w:sz w:val="24"/>
                <w:szCs w:val="24"/>
                <w:lang w:eastAsia="bg-BG"/>
              </w:rPr>
              <w:t>34.9%</w:t>
            </w:r>
          </w:p>
        </w:tc>
      </w:tr>
    </w:tbl>
    <w:p w14:paraId="01A73F89" w14:textId="77777777" w:rsidR="007A65D9" w:rsidRPr="007A65D9" w:rsidRDefault="007A65D9" w:rsidP="00967623">
      <w:pPr>
        <w:shd w:val="clear" w:color="auto" w:fill="FFFFFF"/>
        <w:spacing w:after="86" w:line="276" w:lineRule="auto"/>
        <w:ind w:firstLine="720"/>
        <w:rPr>
          <w:rFonts w:ascii="Times New Roman" w:eastAsia="Times New Roman" w:hAnsi="Times New Roman" w:cs="Times New Roman"/>
          <w:sz w:val="24"/>
          <w:szCs w:val="24"/>
          <w:lang w:eastAsia="bg-BG"/>
        </w:rPr>
      </w:pPr>
      <w:r w:rsidRPr="007A65D9">
        <w:rPr>
          <w:rFonts w:ascii="Times New Roman" w:eastAsia="Times New Roman" w:hAnsi="Times New Roman" w:cs="Times New Roman"/>
          <w:sz w:val="24"/>
          <w:szCs w:val="24"/>
          <w:lang w:eastAsia="bg-BG"/>
        </w:rPr>
        <w:t>*13 бр. от ЗЗ с обща граница по двете Директиви</w:t>
      </w:r>
    </w:p>
    <w:p w14:paraId="083D2A8A" w14:textId="77777777" w:rsidR="00841AC3" w:rsidRPr="00967623" w:rsidRDefault="00841AC3" w:rsidP="00841AC3">
      <w:pPr>
        <w:spacing w:after="0" w:line="276" w:lineRule="auto"/>
        <w:jc w:val="both"/>
        <w:rPr>
          <w:rFonts w:ascii="Times New Roman" w:eastAsia="Times New Roman" w:hAnsi="Times New Roman" w:cs="Times New Roman"/>
          <w:sz w:val="24"/>
          <w:szCs w:val="24"/>
          <w:lang w:eastAsia="bg-BG"/>
        </w:rPr>
      </w:pPr>
      <w:r w:rsidRPr="00967623">
        <w:rPr>
          <w:rFonts w:ascii="Times New Roman" w:eastAsia="Times New Roman" w:hAnsi="Times New Roman" w:cs="Times New Roman"/>
          <w:sz w:val="24"/>
          <w:szCs w:val="24"/>
          <w:lang w:eastAsia="bg-BG"/>
        </w:rPr>
        <w:tab/>
        <w:t xml:space="preserve">От всички защитени зони от Натура 2000 в България, към момента само 7 защитени зони по Директива 2009/147/ЕО имат утвърдени планове за управление. </w:t>
      </w:r>
    </w:p>
    <w:p w14:paraId="2D95935A" w14:textId="77777777" w:rsidR="00841AC3" w:rsidRPr="008E0C78" w:rsidRDefault="00841AC3" w:rsidP="009A7151">
      <w:pPr>
        <w:spacing w:before="100" w:beforeAutospacing="1" w:after="100" w:afterAutospacing="1" w:line="276" w:lineRule="auto"/>
        <w:jc w:val="both"/>
        <w:rPr>
          <w:rFonts w:ascii="Times New Roman" w:eastAsia="Times New Roman" w:hAnsi="Times New Roman" w:cs="Times New Roman"/>
          <w:color w:val="FF0000"/>
          <w:sz w:val="24"/>
          <w:szCs w:val="24"/>
          <w:lang w:eastAsia="bg-BG"/>
        </w:rPr>
      </w:pPr>
      <w:r w:rsidRPr="008E0C78">
        <w:rPr>
          <w:rFonts w:ascii="Times New Roman" w:eastAsia="Times New Roman" w:hAnsi="Times New Roman" w:cs="Times New Roman"/>
          <w:noProof/>
          <w:color w:val="FF0000"/>
          <w:sz w:val="24"/>
          <w:szCs w:val="24"/>
          <w:lang w:eastAsia="bg-BG"/>
        </w:rPr>
        <w:lastRenderedPageBreak/>
        <w:drawing>
          <wp:inline distT="0" distB="0" distL="0" distR="0" wp14:anchorId="25CDC111" wp14:editId="6174614C">
            <wp:extent cx="5905500" cy="4178041"/>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5283" cy="4199112"/>
                    </a:xfrm>
                    <a:prstGeom prst="rect">
                      <a:avLst/>
                    </a:prstGeom>
                    <a:noFill/>
                    <a:ln>
                      <a:noFill/>
                    </a:ln>
                  </pic:spPr>
                </pic:pic>
              </a:graphicData>
            </a:graphic>
          </wp:inline>
        </w:drawing>
      </w:r>
    </w:p>
    <w:p w14:paraId="5E42B0E8" w14:textId="77777777" w:rsidR="00967623" w:rsidRDefault="00841AC3" w:rsidP="00967623">
      <w:pPr>
        <w:spacing w:after="0" w:line="240" w:lineRule="auto"/>
        <w:jc w:val="center"/>
        <w:rPr>
          <w:rFonts w:ascii="Times New Roman" w:eastAsia="Times New Roman" w:hAnsi="Times New Roman" w:cs="Times New Roman"/>
          <w:iCs/>
          <w:sz w:val="24"/>
          <w:szCs w:val="24"/>
          <w:lang w:eastAsia="bg-BG"/>
        </w:rPr>
      </w:pPr>
      <w:r w:rsidRPr="00967623">
        <w:rPr>
          <w:rFonts w:ascii="Times New Roman" w:eastAsia="Times New Roman" w:hAnsi="Times New Roman" w:cs="Times New Roman"/>
          <w:b/>
          <w:bCs/>
          <w:iCs/>
          <w:sz w:val="24"/>
          <w:szCs w:val="24"/>
          <w:lang w:eastAsia="bg-BG"/>
        </w:rPr>
        <w:t>Фиг</w:t>
      </w:r>
      <w:r w:rsidR="00967623">
        <w:rPr>
          <w:rFonts w:ascii="Times New Roman" w:eastAsia="Times New Roman" w:hAnsi="Times New Roman" w:cs="Times New Roman"/>
          <w:b/>
          <w:bCs/>
          <w:iCs/>
          <w:sz w:val="24"/>
          <w:szCs w:val="24"/>
          <w:lang w:eastAsia="bg-BG"/>
        </w:rPr>
        <w:t xml:space="preserve">ура № </w:t>
      </w:r>
      <w:r w:rsidRPr="00967623">
        <w:rPr>
          <w:rFonts w:ascii="Times New Roman" w:eastAsia="Times New Roman" w:hAnsi="Times New Roman" w:cs="Times New Roman"/>
          <w:b/>
          <w:bCs/>
          <w:iCs/>
          <w:sz w:val="24"/>
          <w:szCs w:val="24"/>
          <w:lang w:eastAsia="bg-BG"/>
        </w:rPr>
        <w:t>2.1.9-1.</w:t>
      </w:r>
      <w:r w:rsidRPr="00967623">
        <w:rPr>
          <w:rFonts w:ascii="Times New Roman" w:eastAsia="Times New Roman" w:hAnsi="Times New Roman" w:cs="Times New Roman"/>
          <w:iCs/>
          <w:sz w:val="24"/>
          <w:szCs w:val="24"/>
          <w:lang w:eastAsia="bg-BG"/>
        </w:rPr>
        <w:t xml:space="preserve"> Карта на защитените зони от Натура 2000 </w:t>
      </w:r>
    </w:p>
    <w:p w14:paraId="3F89A83C" w14:textId="77777777" w:rsidR="00841AC3" w:rsidRDefault="00841AC3" w:rsidP="00967623">
      <w:pPr>
        <w:spacing w:after="0" w:line="240" w:lineRule="auto"/>
        <w:jc w:val="center"/>
        <w:rPr>
          <w:rFonts w:ascii="Times New Roman" w:eastAsia="Times New Roman" w:hAnsi="Times New Roman" w:cs="Times New Roman"/>
          <w:iCs/>
          <w:sz w:val="24"/>
          <w:szCs w:val="24"/>
          <w:lang w:eastAsia="bg-BG"/>
        </w:rPr>
      </w:pPr>
      <w:r w:rsidRPr="00967623">
        <w:rPr>
          <w:rFonts w:ascii="Times New Roman" w:eastAsia="Times New Roman" w:hAnsi="Times New Roman" w:cs="Times New Roman"/>
          <w:iCs/>
          <w:sz w:val="24"/>
          <w:szCs w:val="24"/>
          <w:lang w:eastAsia="bg-BG"/>
        </w:rPr>
        <w:t>в България</w:t>
      </w:r>
      <w:r w:rsidR="00285B15" w:rsidRPr="00967623">
        <w:rPr>
          <w:rFonts w:ascii="Times New Roman" w:eastAsia="Times New Roman" w:hAnsi="Times New Roman" w:cs="Times New Roman"/>
          <w:iCs/>
          <w:sz w:val="24"/>
          <w:szCs w:val="24"/>
          <w:lang w:eastAsia="bg-BG"/>
        </w:rPr>
        <w:t xml:space="preserve"> </w:t>
      </w:r>
      <w:r w:rsidRPr="00967623">
        <w:rPr>
          <w:rFonts w:ascii="Times New Roman" w:eastAsia="Times New Roman" w:hAnsi="Times New Roman" w:cs="Times New Roman"/>
          <w:iCs/>
          <w:sz w:val="24"/>
          <w:szCs w:val="24"/>
          <w:lang w:eastAsia="bg-BG"/>
        </w:rPr>
        <w:t>(източник – уебсайт на МОСВ)</w:t>
      </w:r>
    </w:p>
    <w:p w14:paraId="1F07CFD4" w14:textId="77777777" w:rsidR="00967623" w:rsidRPr="00967623" w:rsidRDefault="00967623" w:rsidP="00967623">
      <w:pPr>
        <w:spacing w:after="0" w:line="240" w:lineRule="auto"/>
        <w:jc w:val="center"/>
        <w:rPr>
          <w:rFonts w:ascii="Times New Roman" w:eastAsia="Times New Roman" w:hAnsi="Times New Roman" w:cs="Times New Roman"/>
          <w:iCs/>
          <w:sz w:val="24"/>
          <w:szCs w:val="24"/>
          <w:lang w:eastAsia="bg-BG"/>
        </w:rPr>
      </w:pPr>
    </w:p>
    <w:p w14:paraId="09BCBD2E" w14:textId="77777777" w:rsidR="00841AC3" w:rsidRPr="00967623" w:rsidRDefault="00841AC3" w:rsidP="00841AC3">
      <w:pPr>
        <w:autoSpaceDE w:val="0"/>
        <w:autoSpaceDN w:val="0"/>
        <w:adjustRightInd w:val="0"/>
        <w:spacing w:after="0" w:line="276" w:lineRule="auto"/>
        <w:jc w:val="both"/>
        <w:rPr>
          <w:rFonts w:ascii="Times New Roman" w:eastAsia="Calibri" w:hAnsi="Times New Roman" w:cs="Times New Roman"/>
          <w:sz w:val="24"/>
          <w:szCs w:val="24"/>
        </w:rPr>
      </w:pPr>
      <w:r w:rsidRPr="00967623">
        <w:rPr>
          <w:rFonts w:ascii="Times New Roman" w:eastAsia="Calibri" w:hAnsi="Times New Roman" w:cs="Times New Roman"/>
          <w:sz w:val="24"/>
          <w:szCs w:val="24"/>
        </w:rPr>
        <w:tab/>
        <w:t xml:space="preserve">По данни от Информационна система за защитени зони, целеви за опазване видове и природни местообитания, са както следва: </w:t>
      </w:r>
    </w:p>
    <w:p w14:paraId="28B233ED" w14:textId="77777777" w:rsidR="00841AC3" w:rsidRPr="00967623" w:rsidRDefault="00841AC3" w:rsidP="004F15F5">
      <w:pPr>
        <w:numPr>
          <w:ilvl w:val="0"/>
          <w:numId w:val="14"/>
        </w:numPr>
        <w:autoSpaceDE w:val="0"/>
        <w:autoSpaceDN w:val="0"/>
        <w:adjustRightInd w:val="0"/>
        <w:spacing w:after="0" w:line="276" w:lineRule="auto"/>
        <w:ind w:left="993"/>
        <w:jc w:val="both"/>
        <w:rPr>
          <w:rFonts w:ascii="Times New Roman" w:eastAsia="Calibri" w:hAnsi="Times New Roman" w:cs="Times New Roman"/>
          <w:sz w:val="24"/>
          <w:szCs w:val="24"/>
        </w:rPr>
      </w:pPr>
      <w:r w:rsidRPr="00967623">
        <w:rPr>
          <w:rFonts w:ascii="Times New Roman" w:eastAsia="Calibri" w:hAnsi="Times New Roman" w:cs="Times New Roman"/>
          <w:sz w:val="24"/>
          <w:szCs w:val="24"/>
        </w:rPr>
        <w:t>Безгръбначни животни – 40 вида;</w:t>
      </w:r>
    </w:p>
    <w:p w14:paraId="577ED700" w14:textId="77777777" w:rsidR="00841AC3" w:rsidRPr="00967623" w:rsidRDefault="00841AC3" w:rsidP="004F15F5">
      <w:pPr>
        <w:numPr>
          <w:ilvl w:val="0"/>
          <w:numId w:val="14"/>
        </w:numPr>
        <w:autoSpaceDE w:val="0"/>
        <w:autoSpaceDN w:val="0"/>
        <w:adjustRightInd w:val="0"/>
        <w:spacing w:after="0" w:line="276" w:lineRule="auto"/>
        <w:ind w:left="993"/>
        <w:jc w:val="both"/>
        <w:rPr>
          <w:rFonts w:ascii="Times New Roman" w:eastAsia="Calibri" w:hAnsi="Times New Roman" w:cs="Times New Roman"/>
          <w:sz w:val="24"/>
          <w:szCs w:val="24"/>
        </w:rPr>
      </w:pPr>
      <w:r w:rsidRPr="00967623">
        <w:rPr>
          <w:rFonts w:ascii="Times New Roman" w:eastAsia="Calibri" w:hAnsi="Times New Roman" w:cs="Times New Roman"/>
          <w:sz w:val="24"/>
          <w:szCs w:val="24"/>
        </w:rPr>
        <w:t>Риби – 24 вида;</w:t>
      </w:r>
    </w:p>
    <w:p w14:paraId="380AF4EA" w14:textId="77777777" w:rsidR="00841AC3" w:rsidRPr="00967623" w:rsidRDefault="00841AC3" w:rsidP="004F15F5">
      <w:pPr>
        <w:numPr>
          <w:ilvl w:val="0"/>
          <w:numId w:val="14"/>
        </w:numPr>
        <w:autoSpaceDE w:val="0"/>
        <w:autoSpaceDN w:val="0"/>
        <w:adjustRightInd w:val="0"/>
        <w:spacing w:after="0" w:line="276" w:lineRule="auto"/>
        <w:ind w:left="993"/>
        <w:jc w:val="both"/>
        <w:rPr>
          <w:rFonts w:ascii="Times New Roman" w:eastAsia="Calibri" w:hAnsi="Times New Roman" w:cs="Times New Roman"/>
          <w:sz w:val="24"/>
          <w:szCs w:val="24"/>
        </w:rPr>
      </w:pPr>
      <w:r w:rsidRPr="00967623">
        <w:rPr>
          <w:rFonts w:ascii="Times New Roman" w:eastAsia="Calibri" w:hAnsi="Times New Roman" w:cs="Times New Roman"/>
          <w:sz w:val="24"/>
          <w:szCs w:val="24"/>
        </w:rPr>
        <w:t>Земноводни – 6 вида;</w:t>
      </w:r>
    </w:p>
    <w:p w14:paraId="17628DA7" w14:textId="77777777" w:rsidR="00841AC3" w:rsidRPr="00967623" w:rsidRDefault="00841AC3" w:rsidP="004F15F5">
      <w:pPr>
        <w:numPr>
          <w:ilvl w:val="0"/>
          <w:numId w:val="14"/>
        </w:numPr>
        <w:autoSpaceDE w:val="0"/>
        <w:autoSpaceDN w:val="0"/>
        <w:adjustRightInd w:val="0"/>
        <w:spacing w:after="0" w:line="276" w:lineRule="auto"/>
        <w:ind w:left="993"/>
        <w:jc w:val="both"/>
        <w:rPr>
          <w:rFonts w:ascii="Times New Roman" w:eastAsia="Calibri" w:hAnsi="Times New Roman" w:cs="Times New Roman"/>
          <w:sz w:val="24"/>
          <w:szCs w:val="24"/>
        </w:rPr>
      </w:pPr>
      <w:r w:rsidRPr="00967623">
        <w:rPr>
          <w:rFonts w:ascii="Times New Roman" w:eastAsia="Calibri" w:hAnsi="Times New Roman" w:cs="Times New Roman"/>
          <w:sz w:val="24"/>
          <w:szCs w:val="24"/>
        </w:rPr>
        <w:t>Влечуги – 6 вида;</w:t>
      </w:r>
    </w:p>
    <w:p w14:paraId="3AE0EE93" w14:textId="77777777" w:rsidR="00841AC3" w:rsidRPr="00967623" w:rsidRDefault="00841AC3" w:rsidP="004F15F5">
      <w:pPr>
        <w:numPr>
          <w:ilvl w:val="0"/>
          <w:numId w:val="14"/>
        </w:numPr>
        <w:autoSpaceDE w:val="0"/>
        <w:autoSpaceDN w:val="0"/>
        <w:adjustRightInd w:val="0"/>
        <w:spacing w:after="0" w:line="276" w:lineRule="auto"/>
        <w:ind w:left="993"/>
        <w:jc w:val="both"/>
        <w:rPr>
          <w:rFonts w:ascii="Times New Roman" w:eastAsia="Calibri" w:hAnsi="Times New Roman" w:cs="Times New Roman"/>
          <w:sz w:val="24"/>
          <w:szCs w:val="24"/>
        </w:rPr>
      </w:pPr>
      <w:r w:rsidRPr="00967623">
        <w:rPr>
          <w:rFonts w:ascii="Times New Roman" w:eastAsia="Calibri" w:hAnsi="Times New Roman" w:cs="Times New Roman"/>
          <w:sz w:val="24"/>
          <w:szCs w:val="24"/>
        </w:rPr>
        <w:t>Бозайници – 24 вида;</w:t>
      </w:r>
    </w:p>
    <w:p w14:paraId="622D4C00" w14:textId="77777777" w:rsidR="00841AC3" w:rsidRPr="00967623" w:rsidRDefault="00841AC3" w:rsidP="004F15F5">
      <w:pPr>
        <w:numPr>
          <w:ilvl w:val="0"/>
          <w:numId w:val="14"/>
        </w:numPr>
        <w:autoSpaceDE w:val="0"/>
        <w:autoSpaceDN w:val="0"/>
        <w:adjustRightInd w:val="0"/>
        <w:spacing w:after="0" w:line="276" w:lineRule="auto"/>
        <w:ind w:left="993"/>
        <w:jc w:val="both"/>
        <w:rPr>
          <w:rFonts w:ascii="Times New Roman" w:eastAsia="Calibri" w:hAnsi="Times New Roman" w:cs="Times New Roman"/>
          <w:sz w:val="24"/>
          <w:szCs w:val="24"/>
        </w:rPr>
      </w:pPr>
      <w:r w:rsidRPr="00967623">
        <w:rPr>
          <w:rFonts w:ascii="Times New Roman" w:eastAsia="Calibri" w:hAnsi="Times New Roman" w:cs="Times New Roman"/>
          <w:sz w:val="24"/>
          <w:szCs w:val="24"/>
        </w:rPr>
        <w:t>Растителни видове – 22 вида;</w:t>
      </w:r>
    </w:p>
    <w:p w14:paraId="7EC98A97" w14:textId="77777777" w:rsidR="00841AC3" w:rsidRPr="00967623" w:rsidRDefault="00841AC3" w:rsidP="004F15F5">
      <w:pPr>
        <w:numPr>
          <w:ilvl w:val="0"/>
          <w:numId w:val="14"/>
        </w:numPr>
        <w:autoSpaceDE w:val="0"/>
        <w:autoSpaceDN w:val="0"/>
        <w:adjustRightInd w:val="0"/>
        <w:spacing w:after="0" w:line="276" w:lineRule="auto"/>
        <w:ind w:left="993"/>
        <w:jc w:val="both"/>
        <w:rPr>
          <w:rFonts w:ascii="Times New Roman" w:eastAsia="Calibri" w:hAnsi="Times New Roman" w:cs="Times New Roman"/>
          <w:sz w:val="24"/>
          <w:szCs w:val="24"/>
        </w:rPr>
      </w:pPr>
      <w:r w:rsidRPr="00967623">
        <w:rPr>
          <w:rFonts w:ascii="Times New Roman" w:eastAsia="Calibri" w:hAnsi="Times New Roman" w:cs="Times New Roman"/>
          <w:sz w:val="24"/>
          <w:szCs w:val="24"/>
        </w:rPr>
        <w:t>Природни местообитания – 90 типа;</w:t>
      </w:r>
    </w:p>
    <w:p w14:paraId="14D6C6F5" w14:textId="77777777" w:rsidR="00841AC3" w:rsidRPr="00967623" w:rsidRDefault="00841AC3" w:rsidP="004F15F5">
      <w:pPr>
        <w:numPr>
          <w:ilvl w:val="0"/>
          <w:numId w:val="14"/>
        </w:numPr>
        <w:autoSpaceDE w:val="0"/>
        <w:autoSpaceDN w:val="0"/>
        <w:adjustRightInd w:val="0"/>
        <w:spacing w:after="0" w:line="276" w:lineRule="auto"/>
        <w:ind w:left="993"/>
        <w:jc w:val="both"/>
        <w:rPr>
          <w:rFonts w:ascii="Times New Roman" w:eastAsia="Calibri" w:hAnsi="Times New Roman" w:cs="Times New Roman"/>
          <w:sz w:val="24"/>
          <w:szCs w:val="24"/>
        </w:rPr>
      </w:pPr>
      <w:r w:rsidRPr="00967623">
        <w:rPr>
          <w:rFonts w:ascii="Times New Roman" w:eastAsia="Calibri" w:hAnsi="Times New Roman" w:cs="Times New Roman"/>
          <w:sz w:val="24"/>
          <w:szCs w:val="24"/>
        </w:rPr>
        <w:t xml:space="preserve">Птици – 239 вида. </w:t>
      </w:r>
    </w:p>
    <w:p w14:paraId="0E9B6179" w14:textId="77777777" w:rsidR="00841AC3" w:rsidRPr="00967623" w:rsidRDefault="00841AC3" w:rsidP="00AB0914">
      <w:pPr>
        <w:spacing w:after="0" w:line="276" w:lineRule="auto"/>
        <w:jc w:val="both"/>
        <w:rPr>
          <w:rFonts w:ascii="Times New Roman" w:eastAsia="Times New Roman" w:hAnsi="Times New Roman" w:cs="Times New Roman"/>
          <w:sz w:val="24"/>
          <w:szCs w:val="24"/>
          <w:lang w:eastAsia="bg-BG"/>
        </w:rPr>
      </w:pPr>
      <w:r w:rsidRPr="00967623">
        <w:rPr>
          <w:rFonts w:ascii="Times New Roman" w:eastAsia="Times New Roman" w:hAnsi="Times New Roman" w:cs="Times New Roman"/>
          <w:sz w:val="24"/>
          <w:szCs w:val="24"/>
          <w:lang w:eastAsia="bg-BG"/>
        </w:rPr>
        <w:tab/>
        <w:t xml:space="preserve">Природните местообитания и видовете растения и животни в България, които са обект на опазване в защитените зони, са посочени в приложенията към двете директиви и съответно в Приложения 1 и 2 на ЗБР. </w:t>
      </w:r>
    </w:p>
    <w:p w14:paraId="79F728D5" w14:textId="77777777" w:rsidR="00AB0914" w:rsidRPr="00967623" w:rsidRDefault="00AB0914" w:rsidP="00AB0914">
      <w:pPr>
        <w:pStyle w:val="Default"/>
        <w:spacing w:line="276" w:lineRule="auto"/>
        <w:ind w:firstLine="720"/>
        <w:jc w:val="both"/>
        <w:rPr>
          <w:color w:val="auto"/>
          <w:lang w:val="bg-BG"/>
        </w:rPr>
      </w:pPr>
      <w:r w:rsidRPr="00967623">
        <w:rPr>
          <w:i/>
          <w:iCs/>
          <w:color w:val="auto"/>
          <w:lang w:val="bg-BG"/>
        </w:rPr>
        <w:t>В Доклада за екологична оценка подточката ще бъде разгледана по-подробно, в зависимост от конкретните предвиждания на п</w:t>
      </w:r>
      <w:r w:rsidR="00967623">
        <w:rPr>
          <w:i/>
          <w:iCs/>
          <w:color w:val="auto"/>
          <w:lang w:val="bg-BG"/>
        </w:rPr>
        <w:t>лана</w:t>
      </w:r>
      <w:r w:rsidRPr="00967623">
        <w:rPr>
          <w:i/>
          <w:iCs/>
          <w:color w:val="auto"/>
          <w:lang w:val="bg-BG"/>
        </w:rPr>
        <w:t>.</w:t>
      </w:r>
    </w:p>
    <w:p w14:paraId="397CA669" w14:textId="77777777" w:rsidR="00896671" w:rsidRPr="00967623" w:rsidRDefault="00896671" w:rsidP="004F15F5">
      <w:pPr>
        <w:pStyle w:val="Heading5"/>
        <w:numPr>
          <w:ilvl w:val="2"/>
          <w:numId w:val="8"/>
        </w:numPr>
        <w:spacing w:line="276" w:lineRule="auto"/>
        <w:ind w:left="0" w:firstLine="709"/>
        <w:jc w:val="both"/>
        <w:rPr>
          <w:rFonts w:ascii="Times New Roman" w:hAnsi="Times New Roman" w:cs="Times New Roman"/>
          <w:b/>
          <w:i/>
          <w:color w:val="auto"/>
          <w:sz w:val="24"/>
        </w:rPr>
      </w:pPr>
      <w:r w:rsidRPr="00967623">
        <w:rPr>
          <w:rFonts w:ascii="Times New Roman" w:hAnsi="Times New Roman" w:cs="Times New Roman"/>
          <w:b/>
          <w:i/>
          <w:color w:val="auto"/>
          <w:sz w:val="24"/>
        </w:rPr>
        <w:lastRenderedPageBreak/>
        <w:t>Защите</w:t>
      </w:r>
      <w:r w:rsidR="00764CB8">
        <w:rPr>
          <w:rFonts w:ascii="Times New Roman" w:hAnsi="Times New Roman" w:cs="Times New Roman"/>
          <w:b/>
          <w:i/>
          <w:color w:val="auto"/>
          <w:sz w:val="24"/>
        </w:rPr>
        <w:t>ни територии по смисъла на ЗЗТ</w:t>
      </w:r>
    </w:p>
    <w:p w14:paraId="7E08DC43" w14:textId="77777777" w:rsidR="00A365BB" w:rsidRPr="00764CB8" w:rsidRDefault="00A365BB" w:rsidP="00A365BB">
      <w:pPr>
        <w:spacing w:after="0" w:line="276" w:lineRule="auto"/>
        <w:jc w:val="both"/>
        <w:rPr>
          <w:rFonts w:ascii="Times New Roman" w:eastAsia="Calibri" w:hAnsi="Times New Roman" w:cs="Times New Roman"/>
          <w:bCs/>
          <w:sz w:val="24"/>
          <w:szCs w:val="24"/>
        </w:rPr>
      </w:pPr>
      <w:r w:rsidRPr="00764CB8">
        <w:rPr>
          <w:rFonts w:ascii="Times New Roman" w:eastAsia="Calibri" w:hAnsi="Times New Roman" w:cs="Times New Roman"/>
          <w:sz w:val="24"/>
          <w:szCs w:val="24"/>
        </w:rPr>
        <w:tab/>
        <w:t>Първите опити за регламентиране опазването на природните ресурси в България са направени в началото на XX в. с приемането на тогавашните закони за горите и лова. Целенасоченото териториално опазване на флората и фауната обаче е започнало след 1928 със създаването на Съюза за защита на родната природа. Първата официално обявена защитена територия в България е странджанският резерват „Силкосия” с площ 396 ha. Той е създаден през 1931 за опазване на вечнозелени храстови формации във водосборния басейн на река Велека. След него за обявени резерватите „Парангалица” (1933) и „Байови дупки” (1935). През 1934 е създаден първия национален парк „Витоша”, обявен на основание на тогавашния Закон за горите, който е допускал съществуването на строго охранявани гори.</w:t>
      </w:r>
      <w:r w:rsidR="005526A0" w:rsidRPr="00764CB8">
        <w:rPr>
          <w:rFonts w:ascii="Times New Roman" w:eastAsia="Calibri" w:hAnsi="Times New Roman" w:cs="Times New Roman"/>
          <w:sz w:val="24"/>
          <w:szCs w:val="24"/>
        </w:rPr>
        <w:t xml:space="preserve"> </w:t>
      </w:r>
      <w:r w:rsidRPr="00764CB8">
        <w:rPr>
          <w:rFonts w:ascii="Times New Roman" w:eastAsia="Calibri" w:hAnsi="Times New Roman" w:cs="Times New Roman"/>
          <w:sz w:val="24"/>
          <w:szCs w:val="24"/>
        </w:rPr>
        <w:t xml:space="preserve">„Витоша“ е първият парк на Балканския полуостров. </w:t>
      </w:r>
    </w:p>
    <w:p w14:paraId="34F6F98A" w14:textId="77777777" w:rsidR="00A365BB" w:rsidRPr="00764CB8" w:rsidRDefault="00A365BB" w:rsidP="00A365BB">
      <w:pPr>
        <w:spacing w:after="0" w:line="276" w:lineRule="auto"/>
        <w:ind w:firstLine="720"/>
        <w:jc w:val="both"/>
        <w:rPr>
          <w:rFonts w:ascii="Times New Roman" w:eastAsia="Calibri" w:hAnsi="Times New Roman" w:cs="Times New Roman"/>
          <w:sz w:val="24"/>
          <w:szCs w:val="24"/>
        </w:rPr>
      </w:pPr>
      <w:r w:rsidRPr="00764CB8">
        <w:rPr>
          <w:rFonts w:ascii="Times New Roman" w:eastAsia="Calibri" w:hAnsi="Times New Roman" w:cs="Times New Roman"/>
          <w:sz w:val="24"/>
          <w:szCs w:val="24"/>
        </w:rPr>
        <w:t xml:space="preserve">През 1998 г. Народното събрание приема </w:t>
      </w:r>
      <w:bookmarkStart w:id="34" w:name="_Hlk54691660"/>
      <w:r w:rsidRPr="00764CB8">
        <w:rPr>
          <w:rFonts w:ascii="Times New Roman" w:eastAsia="Calibri" w:hAnsi="Times New Roman" w:cs="Times New Roman"/>
          <w:sz w:val="24"/>
          <w:szCs w:val="24"/>
        </w:rPr>
        <w:t xml:space="preserve">Закон за защитените територии </w:t>
      </w:r>
      <w:bookmarkEnd w:id="34"/>
      <w:r w:rsidRPr="00764CB8">
        <w:rPr>
          <w:rFonts w:ascii="Times New Roman" w:eastAsia="Calibri" w:hAnsi="Times New Roman" w:cs="Times New Roman"/>
          <w:sz w:val="24"/>
          <w:szCs w:val="24"/>
        </w:rPr>
        <w:t xml:space="preserve"> – първият тясно специализиран природозащитен закон, с него се регламентира и създаването на дирекции към трите национални парка ("Централен Балкан", "Рила" и "Пирин").</w:t>
      </w:r>
    </w:p>
    <w:p w14:paraId="01CFFF13" w14:textId="77777777" w:rsidR="00A365BB" w:rsidRPr="00764CB8" w:rsidRDefault="00A365BB" w:rsidP="00A365BB">
      <w:pPr>
        <w:spacing w:after="0" w:line="276" w:lineRule="auto"/>
        <w:ind w:firstLine="720"/>
        <w:jc w:val="both"/>
        <w:rPr>
          <w:rFonts w:ascii="Times New Roman" w:eastAsia="Calibri" w:hAnsi="Times New Roman" w:cs="Times New Roman"/>
          <w:bCs/>
          <w:sz w:val="24"/>
          <w:szCs w:val="24"/>
        </w:rPr>
      </w:pPr>
      <w:r w:rsidRPr="00764CB8">
        <w:rPr>
          <w:rFonts w:ascii="Times New Roman" w:eastAsia="Calibri" w:hAnsi="Times New Roman" w:cs="Times New Roman"/>
          <w:bCs/>
          <w:sz w:val="24"/>
          <w:szCs w:val="24"/>
        </w:rPr>
        <w:t xml:space="preserve">Към настоящият момент в България са обявени 1 017 защитени територии, които обхващат приблизително 5.27 % от територията на страната. Съгласно чл. 4 ал. 1 от Закона за защитените територии, защитените територии </w:t>
      </w:r>
      <w:r w:rsidRPr="00764CB8">
        <w:rPr>
          <w:rFonts w:ascii="Times New Roman" w:eastAsia="Calibri" w:hAnsi="Times New Roman" w:cs="Times New Roman"/>
          <w:sz w:val="24"/>
          <w:szCs w:val="24"/>
        </w:rPr>
        <w:t>са предназначени за опазване на биологичното разнообразие в екосистемите и на естествените процеси, протичащи в тях, както и на характерни или забележителни обекти на неживата природа и пейзажи.</w:t>
      </w:r>
    </w:p>
    <w:p w14:paraId="23792A83" w14:textId="77777777" w:rsidR="00A365BB" w:rsidRPr="00764CB8" w:rsidRDefault="00A365BB" w:rsidP="00465BED">
      <w:pPr>
        <w:spacing w:after="0" w:line="276" w:lineRule="auto"/>
        <w:ind w:firstLine="709"/>
        <w:jc w:val="both"/>
        <w:rPr>
          <w:rFonts w:ascii="Times New Roman" w:eastAsia="Calibri" w:hAnsi="Times New Roman" w:cs="Times New Roman"/>
          <w:bCs/>
          <w:sz w:val="24"/>
          <w:szCs w:val="24"/>
        </w:rPr>
      </w:pPr>
      <w:r w:rsidRPr="00764CB8">
        <w:rPr>
          <w:rFonts w:ascii="Times New Roman" w:eastAsia="Calibri" w:hAnsi="Times New Roman" w:cs="Times New Roman"/>
          <w:bCs/>
          <w:sz w:val="24"/>
          <w:szCs w:val="24"/>
        </w:rPr>
        <w:t xml:space="preserve">ЗЗТ определя 6 категории защитени територии, </w:t>
      </w:r>
      <w:r w:rsidRPr="00764CB8">
        <w:rPr>
          <w:rFonts w:ascii="Times New Roman" w:eastAsia="Calibri" w:hAnsi="Times New Roman" w:cs="Times New Roman"/>
          <w:sz w:val="24"/>
          <w:szCs w:val="24"/>
        </w:rPr>
        <w:t>съобразени със съвременните международни изисквания и критерии (категориите на IUCN)</w:t>
      </w:r>
      <w:r w:rsidRPr="00764CB8">
        <w:rPr>
          <w:rFonts w:ascii="Times New Roman" w:eastAsia="Calibri" w:hAnsi="Times New Roman" w:cs="Times New Roman"/>
          <w:bCs/>
          <w:sz w:val="24"/>
          <w:szCs w:val="24"/>
        </w:rPr>
        <w:t>: резервати (55), национални паркове (3), природни забележителности (344), поддържани резервати (35), природни паркове (11), защитени местности (569). Защитените територии и ефективното им опазване допринасят за изпълнението на изискванията на редица международни конвенции и споразумения, по които България е страна.</w:t>
      </w:r>
    </w:p>
    <w:p w14:paraId="7A609651" w14:textId="77777777" w:rsidR="00A365BB" w:rsidRPr="00764CB8" w:rsidRDefault="00A365BB" w:rsidP="00465BED">
      <w:pPr>
        <w:autoSpaceDE w:val="0"/>
        <w:autoSpaceDN w:val="0"/>
        <w:adjustRightInd w:val="0"/>
        <w:spacing w:after="0" w:line="276" w:lineRule="auto"/>
        <w:ind w:firstLine="709"/>
        <w:jc w:val="both"/>
        <w:rPr>
          <w:rFonts w:ascii="Times New Roman" w:eastAsia="TimesNewRoman" w:hAnsi="Times New Roman" w:cs="Times New Roman"/>
          <w:sz w:val="24"/>
          <w:szCs w:val="24"/>
        </w:rPr>
      </w:pPr>
      <w:r w:rsidRPr="00764CB8">
        <w:rPr>
          <w:rFonts w:ascii="Times New Roman" w:eastAsia="TimesNewRoman" w:hAnsi="Times New Roman" w:cs="Times New Roman"/>
          <w:sz w:val="24"/>
          <w:szCs w:val="24"/>
        </w:rPr>
        <w:t>Разпределението им по категории е както следва:</w:t>
      </w:r>
    </w:p>
    <w:p w14:paraId="66739124" w14:textId="77777777" w:rsidR="00A365BB" w:rsidRPr="00764CB8" w:rsidRDefault="00A365BB" w:rsidP="004F15F5">
      <w:pPr>
        <w:numPr>
          <w:ilvl w:val="0"/>
          <w:numId w:val="15"/>
        </w:numPr>
        <w:autoSpaceDE w:val="0"/>
        <w:autoSpaceDN w:val="0"/>
        <w:adjustRightInd w:val="0"/>
        <w:spacing w:after="0" w:line="276" w:lineRule="auto"/>
        <w:contextualSpacing/>
        <w:jc w:val="both"/>
        <w:rPr>
          <w:rFonts w:ascii="Times New Roman" w:eastAsia="TimesNewRoman" w:hAnsi="Times New Roman" w:cs="Times New Roman"/>
          <w:sz w:val="24"/>
          <w:szCs w:val="24"/>
        </w:rPr>
      </w:pPr>
      <w:r w:rsidRPr="00764CB8">
        <w:rPr>
          <w:rFonts w:ascii="Times New Roman" w:eastAsia="TimesNewRoman" w:hAnsi="Times New Roman" w:cs="Times New Roman"/>
          <w:sz w:val="24"/>
          <w:szCs w:val="24"/>
        </w:rPr>
        <w:t>Национални паркове – 3, с площ 150 362,3 ха;</w:t>
      </w:r>
    </w:p>
    <w:p w14:paraId="7A940BAF" w14:textId="77777777" w:rsidR="00A365BB" w:rsidRPr="00764CB8" w:rsidRDefault="00A365BB" w:rsidP="004F15F5">
      <w:pPr>
        <w:numPr>
          <w:ilvl w:val="0"/>
          <w:numId w:val="15"/>
        </w:numPr>
        <w:autoSpaceDE w:val="0"/>
        <w:autoSpaceDN w:val="0"/>
        <w:adjustRightInd w:val="0"/>
        <w:spacing w:after="0" w:line="276" w:lineRule="auto"/>
        <w:contextualSpacing/>
        <w:jc w:val="both"/>
        <w:rPr>
          <w:rFonts w:ascii="Times New Roman" w:eastAsia="TimesNewRoman" w:hAnsi="Times New Roman" w:cs="Times New Roman"/>
          <w:sz w:val="24"/>
          <w:szCs w:val="24"/>
        </w:rPr>
      </w:pPr>
      <w:r w:rsidRPr="00764CB8">
        <w:rPr>
          <w:rFonts w:ascii="Times New Roman" w:eastAsia="TimesNewRoman" w:hAnsi="Times New Roman" w:cs="Times New Roman"/>
          <w:sz w:val="24"/>
          <w:szCs w:val="24"/>
        </w:rPr>
        <w:t>Природни паркове – 11, с площ 256 441,4 ха;</w:t>
      </w:r>
    </w:p>
    <w:p w14:paraId="1C913136" w14:textId="77777777" w:rsidR="00A365BB" w:rsidRPr="00764CB8" w:rsidRDefault="00A365BB" w:rsidP="004F15F5">
      <w:pPr>
        <w:numPr>
          <w:ilvl w:val="0"/>
          <w:numId w:val="15"/>
        </w:numPr>
        <w:autoSpaceDE w:val="0"/>
        <w:autoSpaceDN w:val="0"/>
        <w:adjustRightInd w:val="0"/>
        <w:spacing w:after="0" w:line="276" w:lineRule="auto"/>
        <w:contextualSpacing/>
        <w:jc w:val="both"/>
        <w:rPr>
          <w:rFonts w:ascii="Times New Roman" w:eastAsia="TimesNewRoman" w:hAnsi="Times New Roman" w:cs="Times New Roman"/>
          <w:sz w:val="24"/>
          <w:szCs w:val="24"/>
        </w:rPr>
      </w:pPr>
      <w:r w:rsidRPr="00764CB8">
        <w:rPr>
          <w:rFonts w:ascii="Times New Roman" w:eastAsia="TimesNewRoman" w:hAnsi="Times New Roman" w:cs="Times New Roman"/>
          <w:sz w:val="24"/>
          <w:szCs w:val="24"/>
        </w:rPr>
        <w:t>Резервати – 55, с площ 77 064,9 ха;</w:t>
      </w:r>
    </w:p>
    <w:p w14:paraId="0919A92E" w14:textId="77777777" w:rsidR="00A365BB" w:rsidRPr="00764CB8" w:rsidRDefault="00A365BB" w:rsidP="004F15F5">
      <w:pPr>
        <w:numPr>
          <w:ilvl w:val="0"/>
          <w:numId w:val="15"/>
        </w:numPr>
        <w:autoSpaceDE w:val="0"/>
        <w:autoSpaceDN w:val="0"/>
        <w:adjustRightInd w:val="0"/>
        <w:spacing w:after="0" w:line="276" w:lineRule="auto"/>
        <w:contextualSpacing/>
        <w:jc w:val="both"/>
        <w:rPr>
          <w:rFonts w:ascii="Times New Roman" w:eastAsia="TimesNewRoman" w:hAnsi="Times New Roman" w:cs="Times New Roman"/>
          <w:sz w:val="24"/>
          <w:szCs w:val="24"/>
        </w:rPr>
      </w:pPr>
      <w:r w:rsidRPr="00764CB8">
        <w:rPr>
          <w:rFonts w:ascii="Times New Roman" w:eastAsia="TimesNewRoman" w:hAnsi="Times New Roman" w:cs="Times New Roman"/>
          <w:sz w:val="24"/>
          <w:szCs w:val="24"/>
        </w:rPr>
        <w:t>Поддържани резервати – 35, с площ 4 520,9 ха;</w:t>
      </w:r>
    </w:p>
    <w:p w14:paraId="387C04E8" w14:textId="77777777" w:rsidR="00A365BB" w:rsidRPr="00764CB8" w:rsidRDefault="00A365BB" w:rsidP="004F15F5">
      <w:pPr>
        <w:numPr>
          <w:ilvl w:val="0"/>
          <w:numId w:val="15"/>
        </w:numPr>
        <w:autoSpaceDE w:val="0"/>
        <w:autoSpaceDN w:val="0"/>
        <w:adjustRightInd w:val="0"/>
        <w:spacing w:after="0" w:line="276" w:lineRule="auto"/>
        <w:contextualSpacing/>
        <w:jc w:val="both"/>
        <w:rPr>
          <w:rFonts w:ascii="Times New Roman" w:eastAsia="TimesNewRoman" w:hAnsi="Times New Roman" w:cs="Times New Roman"/>
          <w:sz w:val="24"/>
          <w:szCs w:val="24"/>
        </w:rPr>
      </w:pPr>
      <w:r w:rsidRPr="00764CB8">
        <w:rPr>
          <w:rFonts w:ascii="Times New Roman" w:eastAsia="TimesNewRoman" w:hAnsi="Times New Roman" w:cs="Times New Roman"/>
          <w:sz w:val="24"/>
          <w:szCs w:val="24"/>
        </w:rPr>
        <w:t>Защитени местности – 569, с площ 79 391,7 ха;</w:t>
      </w:r>
    </w:p>
    <w:p w14:paraId="08D4FECB" w14:textId="77777777" w:rsidR="00A365BB" w:rsidRPr="00764CB8" w:rsidRDefault="00A365BB" w:rsidP="004F15F5">
      <w:pPr>
        <w:numPr>
          <w:ilvl w:val="0"/>
          <w:numId w:val="15"/>
        </w:numPr>
        <w:autoSpaceDE w:val="0"/>
        <w:autoSpaceDN w:val="0"/>
        <w:adjustRightInd w:val="0"/>
        <w:spacing w:after="0" w:line="276" w:lineRule="auto"/>
        <w:contextualSpacing/>
        <w:jc w:val="both"/>
        <w:rPr>
          <w:rFonts w:ascii="Times New Roman" w:eastAsia="TimesNewRoman" w:hAnsi="Times New Roman" w:cs="Times New Roman"/>
          <w:sz w:val="24"/>
          <w:szCs w:val="24"/>
        </w:rPr>
      </w:pPr>
      <w:r w:rsidRPr="00764CB8">
        <w:rPr>
          <w:rFonts w:ascii="Times New Roman" w:eastAsia="TimesNewRoman" w:hAnsi="Times New Roman" w:cs="Times New Roman"/>
          <w:sz w:val="24"/>
          <w:szCs w:val="24"/>
        </w:rPr>
        <w:t>Природни забележителности – 344, с площ 16 819,4 ха.</w:t>
      </w:r>
    </w:p>
    <w:p w14:paraId="6E3F624C" w14:textId="77777777" w:rsidR="00A365BB" w:rsidRPr="00764CB8" w:rsidRDefault="00A365BB" w:rsidP="00465BED">
      <w:pPr>
        <w:autoSpaceDE w:val="0"/>
        <w:autoSpaceDN w:val="0"/>
        <w:adjustRightInd w:val="0"/>
        <w:spacing w:after="0" w:line="276" w:lineRule="auto"/>
        <w:ind w:firstLine="709"/>
        <w:jc w:val="both"/>
        <w:rPr>
          <w:rFonts w:ascii="Times New Roman" w:eastAsia="Calibri" w:hAnsi="Times New Roman" w:cs="Times New Roman"/>
          <w:sz w:val="24"/>
          <w:szCs w:val="24"/>
        </w:rPr>
      </w:pPr>
      <w:r w:rsidRPr="00764CB8">
        <w:rPr>
          <w:rFonts w:ascii="Times New Roman" w:eastAsia="Calibri" w:hAnsi="Times New Roman" w:cs="Times New Roman"/>
          <w:sz w:val="24"/>
          <w:szCs w:val="24"/>
        </w:rPr>
        <w:t xml:space="preserve">Режимите за опазване и управление на защитените територии се определят със  заповедта им за обявяване и с плана за управление. Много малка част от защитените територии имат изготвени и утвърдени планове за управление, други планове за управление са на етап утвърждаване. Голяма част от защитените територии нямат планове за управление.  </w:t>
      </w:r>
    </w:p>
    <w:p w14:paraId="10AAF26D" w14:textId="77777777" w:rsidR="00A365BB" w:rsidRPr="00764CB8" w:rsidRDefault="005526A0" w:rsidP="00A365BB">
      <w:pPr>
        <w:shd w:val="clear" w:color="auto" w:fill="FFFFFF" w:themeFill="background1"/>
        <w:autoSpaceDE w:val="0"/>
        <w:autoSpaceDN w:val="0"/>
        <w:adjustRightInd w:val="0"/>
        <w:spacing w:after="0" w:line="276" w:lineRule="auto"/>
        <w:jc w:val="both"/>
        <w:rPr>
          <w:rFonts w:ascii="Times New Roman" w:eastAsia="Calibri" w:hAnsi="Times New Roman" w:cs="Times New Roman"/>
          <w:b/>
          <w:bCs/>
          <w:i/>
          <w:sz w:val="24"/>
          <w:szCs w:val="24"/>
        </w:rPr>
      </w:pPr>
      <w:r w:rsidRPr="00764CB8">
        <w:rPr>
          <w:rFonts w:ascii="Times New Roman" w:eastAsia="Calibri" w:hAnsi="Times New Roman" w:cs="Times New Roman"/>
          <w:b/>
          <w:bCs/>
          <w:iCs/>
          <w:sz w:val="24"/>
          <w:szCs w:val="24"/>
        </w:rPr>
        <w:tab/>
      </w:r>
      <w:r w:rsidR="00A365BB" w:rsidRPr="00764CB8">
        <w:rPr>
          <w:rFonts w:ascii="Times New Roman" w:eastAsia="Calibri" w:hAnsi="Times New Roman" w:cs="Times New Roman"/>
          <w:b/>
          <w:bCs/>
          <w:i/>
          <w:sz w:val="24"/>
          <w:szCs w:val="24"/>
        </w:rPr>
        <w:t>Други консервацонно значими природни територии</w:t>
      </w:r>
    </w:p>
    <w:p w14:paraId="0922F9F8" w14:textId="77777777" w:rsidR="00A365BB" w:rsidRPr="00764CB8" w:rsidRDefault="00A365BB" w:rsidP="00A365BB">
      <w:pPr>
        <w:shd w:val="clear" w:color="auto" w:fill="FFFFFF" w:themeFill="background1"/>
        <w:autoSpaceDE w:val="0"/>
        <w:autoSpaceDN w:val="0"/>
        <w:adjustRightInd w:val="0"/>
        <w:spacing w:after="0" w:line="276" w:lineRule="auto"/>
        <w:jc w:val="both"/>
        <w:rPr>
          <w:rFonts w:ascii="Calibri" w:eastAsia="Calibri" w:hAnsi="Calibri" w:cs="Times New Roman"/>
          <w:b/>
          <w:bCs/>
          <w:i/>
          <w:iCs/>
          <w:sz w:val="23"/>
          <w:szCs w:val="23"/>
        </w:rPr>
      </w:pPr>
      <w:r w:rsidRPr="00764CB8">
        <w:rPr>
          <w:rFonts w:ascii="Times New Roman" w:eastAsia="Calibri" w:hAnsi="Times New Roman" w:cs="Times New Roman"/>
          <w:bCs/>
          <w:sz w:val="24"/>
          <w:szCs w:val="24"/>
        </w:rPr>
        <w:lastRenderedPageBreak/>
        <w:tab/>
        <w:t>ДЕО ще разгледа и други консервационно значими природни територи</w:t>
      </w:r>
      <w:r w:rsidR="00285B15" w:rsidRPr="00764CB8">
        <w:rPr>
          <w:rFonts w:ascii="Times New Roman" w:eastAsia="Calibri" w:hAnsi="Times New Roman" w:cs="Times New Roman"/>
          <w:bCs/>
          <w:sz w:val="24"/>
          <w:szCs w:val="24"/>
        </w:rPr>
        <w:t>и</w:t>
      </w:r>
      <w:r w:rsidRPr="00764CB8">
        <w:rPr>
          <w:rFonts w:ascii="Times New Roman" w:eastAsia="Calibri" w:hAnsi="Times New Roman" w:cs="Times New Roman"/>
          <w:bCs/>
          <w:sz w:val="24"/>
          <w:szCs w:val="24"/>
        </w:rPr>
        <w:t xml:space="preserve"> като Орнитологично важни места, Корине места, Рамсарски места, Биосферни резервати и др. важни за опазване на биологичното разнообразие природни територии. </w:t>
      </w:r>
    </w:p>
    <w:p w14:paraId="1DDC65AE" w14:textId="77777777" w:rsidR="00A365BB" w:rsidRPr="00764CB8" w:rsidRDefault="00A365BB" w:rsidP="00A365BB">
      <w:pPr>
        <w:spacing w:after="0" w:line="276" w:lineRule="auto"/>
        <w:ind w:firstLine="709"/>
        <w:jc w:val="both"/>
        <w:rPr>
          <w:rFonts w:ascii="Times New Roman" w:eastAsia="Calibri" w:hAnsi="Times New Roman" w:cs="Times New Roman"/>
          <w:b/>
          <w:bCs/>
          <w:i/>
          <w:iCs/>
          <w:sz w:val="24"/>
          <w:szCs w:val="24"/>
        </w:rPr>
      </w:pPr>
      <w:r w:rsidRPr="00764CB8">
        <w:rPr>
          <w:rFonts w:ascii="Times New Roman" w:eastAsia="Calibri" w:hAnsi="Times New Roman" w:cs="Times New Roman"/>
          <w:b/>
          <w:bCs/>
          <w:i/>
          <w:iCs/>
          <w:sz w:val="24"/>
          <w:szCs w:val="24"/>
        </w:rPr>
        <w:t>Състояние и заплахи</w:t>
      </w:r>
    </w:p>
    <w:p w14:paraId="2B357BBC" w14:textId="77777777" w:rsidR="00A365BB" w:rsidRPr="00764CB8" w:rsidRDefault="00A365BB" w:rsidP="00A365BB">
      <w:pPr>
        <w:spacing w:after="0" w:line="276" w:lineRule="auto"/>
        <w:jc w:val="both"/>
        <w:rPr>
          <w:rFonts w:ascii="Times New Roman" w:eastAsia="Calibri" w:hAnsi="Times New Roman" w:cs="Times New Roman"/>
          <w:bCs/>
          <w:sz w:val="24"/>
          <w:szCs w:val="24"/>
        </w:rPr>
      </w:pPr>
      <w:r w:rsidRPr="00764CB8">
        <w:rPr>
          <w:rFonts w:ascii="Times New Roman" w:eastAsia="Calibri" w:hAnsi="Times New Roman" w:cs="Times New Roman"/>
          <w:bCs/>
          <w:sz w:val="24"/>
          <w:szCs w:val="24"/>
        </w:rPr>
        <w:tab/>
        <w:t xml:space="preserve">България се нарежда на едно от първите места в Европа по % от националната територия, включена в мрежата Натура 2000, което се дължи на запазеното биологично разнообразие. </w:t>
      </w:r>
    </w:p>
    <w:p w14:paraId="3DD8A5A0" w14:textId="77777777" w:rsidR="00A365BB" w:rsidRPr="00764CB8" w:rsidRDefault="00A365BB" w:rsidP="00A365BB">
      <w:pPr>
        <w:spacing w:after="0" w:line="276" w:lineRule="auto"/>
        <w:jc w:val="both"/>
        <w:rPr>
          <w:rFonts w:ascii="Times New Roman" w:eastAsia="Calibri" w:hAnsi="Times New Roman" w:cs="Times New Roman"/>
          <w:bCs/>
          <w:sz w:val="24"/>
          <w:szCs w:val="24"/>
        </w:rPr>
      </w:pPr>
      <w:r w:rsidRPr="00764CB8">
        <w:rPr>
          <w:rFonts w:ascii="Times New Roman" w:eastAsia="Calibri" w:hAnsi="Times New Roman" w:cs="Times New Roman"/>
          <w:bCs/>
          <w:sz w:val="24"/>
          <w:szCs w:val="24"/>
        </w:rPr>
        <w:tab/>
        <w:t xml:space="preserve">Част от защитените зони по Директива 92/43/ЕИО нямат заповеди за обявяване, което създава проблем с опазването на видовете и природните местообитания, предмет на опазване в защитените зони. Наред с това имаме много малък брой утвърдени и действащи планове за управление на защитени територии и защитени зони. В някои случаи антропогенният натиск върху природните територии води до загуба на територии, безпокойство, фрагментация, нарушаване на биокоридори и като цяло до загуба на биологично разнообразие. </w:t>
      </w:r>
    </w:p>
    <w:p w14:paraId="3B56CC28" w14:textId="77777777" w:rsidR="00AB0914" w:rsidRPr="00764CB8" w:rsidRDefault="00AB0914" w:rsidP="00AB0914">
      <w:pPr>
        <w:pStyle w:val="Default"/>
        <w:spacing w:line="276" w:lineRule="auto"/>
        <w:ind w:firstLine="720"/>
        <w:jc w:val="both"/>
        <w:rPr>
          <w:i/>
          <w:iCs/>
          <w:color w:val="auto"/>
          <w:lang w:val="bg-BG"/>
        </w:rPr>
      </w:pPr>
      <w:r w:rsidRPr="00764CB8">
        <w:rPr>
          <w:i/>
          <w:iCs/>
          <w:color w:val="auto"/>
          <w:lang w:val="bg-BG"/>
        </w:rPr>
        <w:t>В Доклада за екологична оценка подточката ще бъде разгледана по-подробно, в зависимост от конкретните предвиждания на п</w:t>
      </w:r>
      <w:r w:rsidR="00764CB8">
        <w:rPr>
          <w:i/>
          <w:iCs/>
          <w:color w:val="auto"/>
          <w:lang w:val="bg-BG"/>
        </w:rPr>
        <w:t>лана</w:t>
      </w:r>
      <w:r w:rsidRPr="00764CB8">
        <w:rPr>
          <w:i/>
          <w:iCs/>
          <w:color w:val="auto"/>
          <w:lang w:val="bg-BG"/>
        </w:rPr>
        <w:t>.</w:t>
      </w:r>
    </w:p>
    <w:p w14:paraId="0BE2FCFE" w14:textId="77777777" w:rsidR="00AB0914" w:rsidRPr="00764CB8" w:rsidRDefault="00AB0914" w:rsidP="00AB0914">
      <w:pPr>
        <w:pStyle w:val="Default"/>
        <w:spacing w:line="276" w:lineRule="auto"/>
        <w:ind w:firstLine="720"/>
        <w:jc w:val="both"/>
        <w:rPr>
          <w:color w:val="auto"/>
          <w:lang w:val="bg-BG"/>
        </w:rPr>
      </w:pPr>
    </w:p>
    <w:p w14:paraId="1E104350" w14:textId="77777777" w:rsidR="000E0DAB" w:rsidRPr="00764CB8" w:rsidRDefault="00423D35" w:rsidP="004F15F5">
      <w:pPr>
        <w:pStyle w:val="Heading5"/>
        <w:numPr>
          <w:ilvl w:val="2"/>
          <w:numId w:val="8"/>
        </w:numPr>
        <w:spacing w:line="276" w:lineRule="auto"/>
        <w:ind w:left="0" w:firstLine="709"/>
        <w:jc w:val="both"/>
        <w:rPr>
          <w:rFonts w:ascii="Times New Roman" w:hAnsi="Times New Roman" w:cs="Times New Roman"/>
          <w:b/>
          <w:i/>
          <w:color w:val="auto"/>
          <w:sz w:val="24"/>
        </w:rPr>
      </w:pPr>
      <w:r w:rsidRPr="00764CB8">
        <w:rPr>
          <w:rFonts w:ascii="Times New Roman" w:hAnsi="Times New Roman" w:cs="Times New Roman"/>
          <w:b/>
          <w:i/>
          <w:color w:val="auto"/>
          <w:sz w:val="24"/>
        </w:rPr>
        <w:t>Състояние на ландшафта</w:t>
      </w:r>
      <w:r w:rsidR="00DE3EBD" w:rsidRPr="00764CB8">
        <w:rPr>
          <w:rFonts w:ascii="Times New Roman" w:hAnsi="Times New Roman" w:cs="Times New Roman"/>
          <w:b/>
          <w:i/>
          <w:color w:val="auto"/>
          <w:sz w:val="24"/>
        </w:rPr>
        <w:t xml:space="preserve"> </w:t>
      </w:r>
    </w:p>
    <w:p w14:paraId="70F31FE3" w14:textId="77777777" w:rsidR="00414C5C" w:rsidRPr="00764CB8" w:rsidRDefault="00414C5C" w:rsidP="00096D73">
      <w:pPr>
        <w:spacing w:after="0" w:line="276" w:lineRule="auto"/>
        <w:ind w:firstLine="720"/>
        <w:jc w:val="both"/>
        <w:rPr>
          <w:rFonts w:ascii="Times New Roman" w:hAnsi="Times New Roman"/>
          <w:sz w:val="24"/>
          <w:szCs w:val="24"/>
        </w:rPr>
      </w:pPr>
      <w:r w:rsidRPr="00764CB8">
        <w:rPr>
          <w:rFonts w:ascii="Times New Roman" w:hAnsi="Times New Roman"/>
          <w:sz w:val="24"/>
          <w:szCs w:val="24"/>
        </w:rPr>
        <w:t>Разработената класификационна ландшафтна система на страната включва 78 групи ландшафти, обединени в 30 подтипа, 13 типа и 4 класа, или:</w:t>
      </w:r>
    </w:p>
    <w:p w14:paraId="3A1B40C6" w14:textId="77777777" w:rsidR="00414C5C" w:rsidRPr="00764CB8" w:rsidRDefault="00414C5C" w:rsidP="004F15F5">
      <w:pPr>
        <w:pStyle w:val="ListParagraph"/>
        <w:numPr>
          <w:ilvl w:val="0"/>
          <w:numId w:val="9"/>
        </w:numPr>
        <w:spacing w:after="0" w:line="276" w:lineRule="auto"/>
        <w:jc w:val="both"/>
        <w:rPr>
          <w:rFonts w:ascii="Times New Roman" w:eastAsia="Calibri" w:hAnsi="Times New Roman" w:cs="Times New Roman"/>
          <w:sz w:val="24"/>
          <w:szCs w:val="24"/>
        </w:rPr>
      </w:pPr>
      <w:r w:rsidRPr="00764CB8">
        <w:rPr>
          <w:rFonts w:ascii="Times New Roman" w:eastAsia="Calibri" w:hAnsi="Times New Roman" w:cs="Times New Roman"/>
          <w:sz w:val="24"/>
          <w:szCs w:val="24"/>
        </w:rPr>
        <w:t>Клас Равнини - включва 4 типа, 9 подтипа, 16 групи;</w:t>
      </w:r>
    </w:p>
    <w:p w14:paraId="4290C8C4" w14:textId="77777777" w:rsidR="00414C5C" w:rsidRPr="00764CB8" w:rsidRDefault="00414C5C" w:rsidP="004F15F5">
      <w:pPr>
        <w:pStyle w:val="ListParagraph"/>
        <w:numPr>
          <w:ilvl w:val="0"/>
          <w:numId w:val="9"/>
        </w:numPr>
        <w:spacing w:after="0" w:line="276" w:lineRule="auto"/>
        <w:jc w:val="both"/>
        <w:rPr>
          <w:rFonts w:ascii="Times New Roman" w:eastAsia="Calibri" w:hAnsi="Times New Roman" w:cs="Times New Roman"/>
          <w:sz w:val="24"/>
          <w:szCs w:val="24"/>
        </w:rPr>
      </w:pPr>
      <w:r w:rsidRPr="00764CB8">
        <w:rPr>
          <w:rFonts w:ascii="Times New Roman" w:eastAsia="Calibri" w:hAnsi="Times New Roman" w:cs="Times New Roman"/>
          <w:sz w:val="24"/>
          <w:szCs w:val="24"/>
        </w:rPr>
        <w:t>Клас Междупланински равнино-низинни - включва 2 типа, 2 подтипа, 10 групи;</w:t>
      </w:r>
    </w:p>
    <w:p w14:paraId="4772E311" w14:textId="77777777" w:rsidR="00414C5C" w:rsidRPr="00764CB8" w:rsidRDefault="00414C5C" w:rsidP="004F15F5">
      <w:pPr>
        <w:pStyle w:val="ListParagraph"/>
        <w:numPr>
          <w:ilvl w:val="0"/>
          <w:numId w:val="9"/>
        </w:numPr>
        <w:spacing w:after="0" w:line="276" w:lineRule="auto"/>
        <w:jc w:val="both"/>
        <w:rPr>
          <w:rFonts w:ascii="Times New Roman" w:eastAsia="Calibri" w:hAnsi="Times New Roman" w:cs="Times New Roman"/>
          <w:sz w:val="24"/>
          <w:szCs w:val="24"/>
        </w:rPr>
      </w:pPr>
      <w:r w:rsidRPr="00764CB8">
        <w:rPr>
          <w:rFonts w:ascii="Times New Roman" w:eastAsia="Calibri" w:hAnsi="Times New Roman" w:cs="Times New Roman"/>
          <w:sz w:val="24"/>
          <w:szCs w:val="24"/>
        </w:rPr>
        <w:t>Клас Котловинни - включва 2 типа, 4 подтипа, 12 групи;</w:t>
      </w:r>
    </w:p>
    <w:p w14:paraId="1D7DD12E" w14:textId="77777777" w:rsidR="00414C5C" w:rsidRPr="00764CB8" w:rsidRDefault="00414C5C" w:rsidP="004F15F5">
      <w:pPr>
        <w:pStyle w:val="ListParagraph"/>
        <w:numPr>
          <w:ilvl w:val="0"/>
          <w:numId w:val="9"/>
        </w:numPr>
        <w:spacing w:after="0" w:line="276" w:lineRule="auto"/>
        <w:jc w:val="both"/>
        <w:rPr>
          <w:rFonts w:ascii="Times New Roman" w:eastAsia="Calibri" w:hAnsi="Times New Roman" w:cs="Times New Roman"/>
          <w:sz w:val="24"/>
          <w:szCs w:val="24"/>
        </w:rPr>
      </w:pPr>
      <w:r w:rsidRPr="00764CB8">
        <w:rPr>
          <w:rFonts w:ascii="Times New Roman" w:eastAsia="Calibri" w:hAnsi="Times New Roman" w:cs="Times New Roman"/>
          <w:sz w:val="24"/>
          <w:szCs w:val="24"/>
        </w:rPr>
        <w:t>Клас Планински - включва 5 типа, 15 подтипа, 40 групи.</w:t>
      </w:r>
    </w:p>
    <w:p w14:paraId="7ECE888E" w14:textId="77777777" w:rsidR="00414C5C" w:rsidRPr="00764CB8" w:rsidRDefault="00414C5C" w:rsidP="00096D73">
      <w:pPr>
        <w:spacing w:after="0" w:line="276" w:lineRule="auto"/>
        <w:ind w:firstLine="720"/>
        <w:jc w:val="both"/>
        <w:rPr>
          <w:rFonts w:ascii="Times New Roman" w:hAnsi="Times New Roman"/>
          <w:sz w:val="24"/>
          <w:szCs w:val="24"/>
        </w:rPr>
      </w:pPr>
      <w:r w:rsidRPr="00764CB8">
        <w:rPr>
          <w:rFonts w:ascii="Times New Roman" w:hAnsi="Times New Roman"/>
          <w:sz w:val="24"/>
          <w:szCs w:val="24"/>
        </w:rPr>
        <w:t>По възприетата методика на територията на страната са определени 4 области, 24 подобласти и 127 ландшафтни райони.</w:t>
      </w:r>
    </w:p>
    <w:p w14:paraId="5459AE4A" w14:textId="77777777" w:rsidR="00414C5C" w:rsidRPr="00764CB8" w:rsidRDefault="00414C5C" w:rsidP="00096D73">
      <w:pPr>
        <w:spacing w:after="0" w:line="276" w:lineRule="auto"/>
        <w:ind w:firstLine="720"/>
        <w:jc w:val="both"/>
        <w:rPr>
          <w:rFonts w:ascii="Times New Roman" w:hAnsi="Times New Roman"/>
          <w:sz w:val="24"/>
          <w:szCs w:val="24"/>
        </w:rPr>
      </w:pPr>
      <w:r w:rsidRPr="00764CB8">
        <w:rPr>
          <w:rFonts w:ascii="Times New Roman" w:hAnsi="Times New Roman"/>
          <w:sz w:val="24"/>
          <w:szCs w:val="24"/>
        </w:rPr>
        <w:t>Различните елементи на транспортната система се групират в транспортни коридори. Частта от територията, тангираща с международните коридори се определя като Зона на влияние имаща пряк контакт с транспортния коридор:</w:t>
      </w:r>
    </w:p>
    <w:p w14:paraId="0F802CB8" w14:textId="77777777" w:rsidR="00414C5C" w:rsidRPr="00764CB8" w:rsidRDefault="00414C5C" w:rsidP="004F15F5">
      <w:pPr>
        <w:pStyle w:val="ListParagraph"/>
        <w:numPr>
          <w:ilvl w:val="0"/>
          <w:numId w:val="9"/>
        </w:numPr>
        <w:spacing w:after="0" w:line="276" w:lineRule="auto"/>
        <w:jc w:val="both"/>
        <w:rPr>
          <w:rFonts w:ascii="Times New Roman" w:hAnsi="Times New Roman"/>
          <w:sz w:val="24"/>
          <w:szCs w:val="24"/>
        </w:rPr>
      </w:pPr>
      <w:r w:rsidRPr="00764CB8">
        <w:rPr>
          <w:rFonts w:ascii="Times New Roman" w:hAnsi="Times New Roman"/>
          <w:i/>
          <w:sz w:val="24"/>
          <w:szCs w:val="24"/>
        </w:rPr>
        <w:t>директна зона на влияние</w:t>
      </w:r>
      <w:r w:rsidRPr="00764CB8">
        <w:rPr>
          <w:rFonts w:ascii="Times New Roman" w:hAnsi="Times New Roman"/>
          <w:sz w:val="24"/>
          <w:szCs w:val="24"/>
        </w:rPr>
        <w:t xml:space="preserve"> – обхваща територии, формиращи ивици с ширина от 3 до 15 км от двете страни на линейните елементи;</w:t>
      </w:r>
    </w:p>
    <w:p w14:paraId="43404E88" w14:textId="77777777" w:rsidR="00414C5C" w:rsidRPr="00764CB8" w:rsidRDefault="00414C5C" w:rsidP="004F15F5">
      <w:pPr>
        <w:pStyle w:val="ListParagraph"/>
        <w:numPr>
          <w:ilvl w:val="0"/>
          <w:numId w:val="9"/>
        </w:numPr>
        <w:spacing w:after="0" w:line="276" w:lineRule="auto"/>
        <w:jc w:val="both"/>
        <w:rPr>
          <w:rFonts w:ascii="Times New Roman" w:hAnsi="Times New Roman"/>
          <w:sz w:val="24"/>
          <w:szCs w:val="24"/>
        </w:rPr>
      </w:pPr>
      <w:r w:rsidRPr="00764CB8">
        <w:rPr>
          <w:rFonts w:ascii="Times New Roman" w:hAnsi="Times New Roman"/>
          <w:i/>
          <w:sz w:val="24"/>
          <w:szCs w:val="24"/>
        </w:rPr>
        <w:t xml:space="preserve">индиректна зона на влияние </w:t>
      </w:r>
      <w:r w:rsidRPr="00764CB8">
        <w:rPr>
          <w:rFonts w:ascii="Times New Roman" w:hAnsi="Times New Roman"/>
          <w:sz w:val="24"/>
          <w:szCs w:val="24"/>
        </w:rPr>
        <w:t>- обхваща територии, формиращи ивици с ширина над 15 км от двете страни на линейните елементи;</w:t>
      </w:r>
    </w:p>
    <w:p w14:paraId="1511A062" w14:textId="77777777" w:rsidR="00764CB8" w:rsidRPr="009A6559" w:rsidRDefault="00764CB8" w:rsidP="00764CB8">
      <w:pPr>
        <w:spacing w:after="0" w:line="276" w:lineRule="auto"/>
        <w:ind w:firstLine="7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Ч</w:t>
      </w:r>
      <w:r w:rsidRPr="009A6559">
        <w:rPr>
          <w:rFonts w:ascii="Times New Roman" w:eastAsia="Calibri" w:hAnsi="Times New Roman" w:cs="Times New Roman"/>
          <w:sz w:val="24"/>
          <w:szCs w:val="24"/>
        </w:rPr>
        <w:t>увствителни</w:t>
      </w:r>
      <w:r>
        <w:rPr>
          <w:rFonts w:ascii="Times New Roman" w:eastAsia="Calibri" w:hAnsi="Times New Roman" w:cs="Times New Roman"/>
          <w:sz w:val="24"/>
          <w:szCs w:val="24"/>
        </w:rPr>
        <w:t>те</w:t>
      </w:r>
      <w:r w:rsidRPr="009A6559">
        <w:rPr>
          <w:rFonts w:ascii="Times New Roman" w:eastAsia="Calibri" w:hAnsi="Times New Roman" w:cs="Times New Roman"/>
          <w:sz w:val="24"/>
          <w:szCs w:val="24"/>
        </w:rPr>
        <w:t xml:space="preserve"> ландшафти </w:t>
      </w:r>
      <w:r>
        <w:rPr>
          <w:rFonts w:ascii="Times New Roman" w:eastAsia="Calibri" w:hAnsi="Times New Roman" w:cs="Times New Roman"/>
          <w:sz w:val="24"/>
          <w:szCs w:val="24"/>
        </w:rPr>
        <w:t>обхващат</w:t>
      </w:r>
      <w:r w:rsidRPr="009A6559">
        <w:rPr>
          <w:rFonts w:ascii="Times New Roman" w:eastAsia="Calibri" w:hAnsi="Times New Roman" w:cs="Times New Roman"/>
          <w:sz w:val="24"/>
          <w:szCs w:val="24"/>
        </w:rPr>
        <w:t xml:space="preserve"> териториите по поречията на реките, защитените зони, влажните зони и други зони от националната екологична мрежа Натура 2000. В тях всякаква намеса би могла да има необратими последици върху устойчивостта на ландшафтните комплекси.</w:t>
      </w:r>
    </w:p>
    <w:p w14:paraId="6042956F" w14:textId="77777777" w:rsidR="00764CB8" w:rsidRPr="00DE7327" w:rsidRDefault="00764CB8" w:rsidP="00096D73">
      <w:pPr>
        <w:spacing w:after="0" w:line="276" w:lineRule="auto"/>
        <w:ind w:firstLine="720"/>
        <w:jc w:val="both"/>
        <w:rPr>
          <w:rFonts w:ascii="Times New Roman" w:hAnsi="Times New Roman"/>
          <w:sz w:val="24"/>
          <w:szCs w:val="24"/>
        </w:rPr>
      </w:pPr>
    </w:p>
    <w:p w14:paraId="756BA840" w14:textId="77777777" w:rsidR="00414C5C" w:rsidRPr="00DE7327" w:rsidRDefault="00414C5C" w:rsidP="00096D73">
      <w:pPr>
        <w:pStyle w:val="ListParagraph"/>
        <w:spacing w:after="0" w:line="276" w:lineRule="auto"/>
        <w:ind w:left="0" w:firstLine="709"/>
        <w:jc w:val="both"/>
        <w:rPr>
          <w:rFonts w:ascii="Times New Roman" w:hAnsi="Times New Roman"/>
          <w:i/>
          <w:iCs/>
          <w:sz w:val="24"/>
          <w:szCs w:val="24"/>
        </w:rPr>
      </w:pPr>
      <w:r w:rsidRPr="00DE7327">
        <w:rPr>
          <w:rFonts w:ascii="Times New Roman" w:hAnsi="Times New Roman"/>
          <w:i/>
          <w:iCs/>
          <w:sz w:val="24"/>
          <w:szCs w:val="24"/>
        </w:rPr>
        <w:lastRenderedPageBreak/>
        <w:t xml:space="preserve">В Доклада за ЕО ще бъде направена подробна характеристика на </w:t>
      </w:r>
      <w:r w:rsidR="00096D73" w:rsidRPr="00DE7327">
        <w:rPr>
          <w:rFonts w:ascii="Times New Roman" w:hAnsi="Times New Roman"/>
          <w:i/>
          <w:iCs/>
          <w:sz w:val="24"/>
          <w:szCs w:val="24"/>
        </w:rPr>
        <w:t>съст</w:t>
      </w:r>
      <w:r w:rsidR="00764CB8" w:rsidRPr="00DE7327">
        <w:rPr>
          <w:rFonts w:ascii="Times New Roman" w:hAnsi="Times New Roman"/>
          <w:i/>
          <w:iCs/>
          <w:sz w:val="24"/>
          <w:szCs w:val="24"/>
        </w:rPr>
        <w:t>оянието на ландшафта към момента.</w:t>
      </w:r>
    </w:p>
    <w:p w14:paraId="3E2292CA" w14:textId="77777777" w:rsidR="00DE7327" w:rsidRPr="00DE7327" w:rsidRDefault="00DE7327" w:rsidP="00096D73">
      <w:pPr>
        <w:pStyle w:val="ListParagraph"/>
        <w:spacing w:after="0" w:line="276" w:lineRule="auto"/>
        <w:ind w:left="0" w:firstLine="709"/>
        <w:jc w:val="both"/>
        <w:rPr>
          <w:rFonts w:ascii="Times New Roman" w:hAnsi="Times New Roman"/>
          <w:i/>
          <w:iCs/>
          <w:sz w:val="24"/>
          <w:szCs w:val="24"/>
        </w:rPr>
      </w:pPr>
    </w:p>
    <w:p w14:paraId="4F662CD1" w14:textId="77777777" w:rsidR="000E0DAB" w:rsidRPr="00DE7327" w:rsidRDefault="000E0DAB" w:rsidP="004F15F5">
      <w:pPr>
        <w:pStyle w:val="Heading5"/>
        <w:numPr>
          <w:ilvl w:val="2"/>
          <w:numId w:val="8"/>
        </w:numPr>
        <w:spacing w:line="276" w:lineRule="auto"/>
        <w:ind w:left="0" w:firstLine="709"/>
        <w:jc w:val="both"/>
        <w:rPr>
          <w:rFonts w:ascii="Times New Roman" w:hAnsi="Times New Roman" w:cs="Times New Roman"/>
          <w:b/>
          <w:i/>
          <w:color w:val="auto"/>
          <w:sz w:val="24"/>
        </w:rPr>
      </w:pPr>
      <w:r w:rsidRPr="00DE7327">
        <w:rPr>
          <w:rFonts w:ascii="Times New Roman" w:hAnsi="Times New Roman" w:cs="Times New Roman"/>
          <w:b/>
          <w:i/>
          <w:color w:val="auto"/>
          <w:sz w:val="24"/>
        </w:rPr>
        <w:t>С</w:t>
      </w:r>
      <w:r w:rsidR="00423D35" w:rsidRPr="00DE7327">
        <w:rPr>
          <w:rFonts w:ascii="Times New Roman" w:hAnsi="Times New Roman" w:cs="Times New Roman"/>
          <w:b/>
          <w:i/>
          <w:color w:val="auto"/>
          <w:sz w:val="24"/>
        </w:rPr>
        <w:t>ъстояние на материалните активи</w:t>
      </w:r>
      <w:r w:rsidR="00DE3EBD" w:rsidRPr="00DE7327">
        <w:rPr>
          <w:rFonts w:ascii="Times New Roman" w:hAnsi="Times New Roman" w:cs="Times New Roman"/>
          <w:b/>
          <w:i/>
          <w:color w:val="auto"/>
          <w:sz w:val="24"/>
        </w:rPr>
        <w:t xml:space="preserve"> </w:t>
      </w:r>
    </w:p>
    <w:p w14:paraId="1DD23B2C" w14:textId="77777777" w:rsidR="00DE7327" w:rsidRPr="00881ED8" w:rsidRDefault="00DE7327" w:rsidP="0013220F">
      <w:pPr>
        <w:spacing w:after="0" w:line="276" w:lineRule="auto"/>
        <w:ind w:firstLine="720"/>
        <w:contextualSpacing/>
        <w:jc w:val="both"/>
        <w:rPr>
          <w:rFonts w:ascii="Times New Roman" w:eastAsia="Calibri" w:hAnsi="Times New Roman" w:cs="Times New Roman"/>
          <w:bCs/>
          <w:sz w:val="24"/>
          <w:szCs w:val="24"/>
          <w:highlight w:val="yellow"/>
        </w:rPr>
      </w:pPr>
      <w:r w:rsidRPr="0099146B">
        <w:rPr>
          <w:rFonts w:ascii="Times New Roman" w:eastAsia="Calibri" w:hAnsi="Times New Roman" w:cs="Times New Roman"/>
          <w:sz w:val="24"/>
          <w:szCs w:val="24"/>
        </w:rPr>
        <w:t>Инвестициите за опазването на околната среда са важна предпоставка не само за постигане на екологична устойчивост, но и за осигуряване на здравословен начин на живот, сигурност и социална равнопоставеност, както и за икономически растеж, нови възможности за бизнеса, по-висока заетост и повече работни места.</w:t>
      </w:r>
    </w:p>
    <w:p w14:paraId="2534DA62" w14:textId="28FC4F4B" w:rsidR="00DE7327" w:rsidRDefault="00DE7327" w:rsidP="0013220F">
      <w:pPr>
        <w:spacing w:after="0" w:line="276" w:lineRule="auto"/>
        <w:ind w:firstLine="720"/>
        <w:contextualSpacing/>
        <w:jc w:val="both"/>
        <w:rPr>
          <w:rFonts w:ascii="Times New Roman" w:eastAsia="Calibri" w:hAnsi="Times New Roman" w:cs="Times New Roman"/>
          <w:sz w:val="24"/>
          <w:szCs w:val="24"/>
        </w:rPr>
      </w:pPr>
      <w:r w:rsidRPr="0099146B">
        <w:rPr>
          <w:rFonts w:ascii="Times New Roman" w:eastAsia="Calibri" w:hAnsi="Times New Roman" w:cs="Times New Roman"/>
          <w:sz w:val="24"/>
          <w:szCs w:val="24"/>
        </w:rPr>
        <w:t xml:space="preserve">Материалните активи, които биха имали отношение към </w:t>
      </w:r>
      <w:r w:rsidR="005B5EB3">
        <w:rPr>
          <w:rFonts w:ascii="Times New Roman" w:eastAsia="Calibri" w:hAnsi="Times New Roman" w:cs="Times New Roman"/>
          <w:sz w:val="24"/>
          <w:szCs w:val="24"/>
        </w:rPr>
        <w:t>ИПЕК</w:t>
      </w:r>
      <w:r w:rsidRPr="0099146B">
        <w:rPr>
          <w:rFonts w:ascii="Times New Roman" w:eastAsia="Calibri" w:hAnsi="Times New Roman" w:cs="Times New Roman"/>
          <w:sz w:val="24"/>
          <w:szCs w:val="24"/>
        </w:rPr>
        <w:t xml:space="preserve"> са най-вече</w:t>
      </w:r>
      <w:r w:rsidRPr="009A6559">
        <w:rPr>
          <w:rFonts w:ascii="Times New Roman" w:eastAsia="Calibri" w:hAnsi="Times New Roman" w:cs="Times New Roman"/>
          <w:sz w:val="24"/>
          <w:szCs w:val="24"/>
        </w:rPr>
        <w:t xml:space="preserve"> </w:t>
      </w:r>
      <w:r>
        <w:rPr>
          <w:rFonts w:ascii="Times New Roman" w:eastAsia="Calibri" w:hAnsi="Times New Roman" w:cs="Times New Roman"/>
          <w:sz w:val="24"/>
          <w:szCs w:val="24"/>
        </w:rPr>
        <w:t>тези</w:t>
      </w:r>
      <w:r w:rsidRPr="0099146B">
        <w:rPr>
          <w:rFonts w:ascii="Times New Roman" w:eastAsia="Calibri" w:hAnsi="Times New Roman" w:cs="Times New Roman"/>
          <w:sz w:val="24"/>
          <w:szCs w:val="24"/>
        </w:rPr>
        <w:t>, свързани с предвидените в п</w:t>
      </w:r>
      <w:r>
        <w:rPr>
          <w:rFonts w:ascii="Times New Roman" w:eastAsia="Calibri" w:hAnsi="Times New Roman" w:cs="Times New Roman"/>
          <w:sz w:val="24"/>
          <w:szCs w:val="24"/>
        </w:rPr>
        <w:t>лана</w:t>
      </w:r>
      <w:r w:rsidRPr="0099146B">
        <w:rPr>
          <w:rFonts w:ascii="Times New Roman" w:eastAsia="Calibri" w:hAnsi="Times New Roman" w:cs="Times New Roman"/>
          <w:sz w:val="24"/>
          <w:szCs w:val="24"/>
        </w:rPr>
        <w:t xml:space="preserve"> дейности по </w:t>
      </w:r>
      <w:r>
        <w:rPr>
          <w:rFonts w:ascii="Times New Roman" w:eastAsia="Calibri" w:hAnsi="Times New Roman" w:cs="Times New Roman"/>
          <w:sz w:val="24"/>
          <w:szCs w:val="24"/>
        </w:rPr>
        <w:t xml:space="preserve">петте </w:t>
      </w:r>
      <w:r w:rsidRPr="0099146B">
        <w:rPr>
          <w:rFonts w:ascii="Times New Roman" w:eastAsia="Calibri" w:hAnsi="Times New Roman" w:cs="Times New Roman"/>
          <w:sz w:val="24"/>
          <w:szCs w:val="24"/>
        </w:rPr>
        <w:t xml:space="preserve">основни </w:t>
      </w:r>
      <w:r w:rsidRPr="00DE7327">
        <w:rPr>
          <w:rFonts w:ascii="Times New Roman" w:eastAsia="Calibri" w:hAnsi="Times New Roman" w:cs="Times New Roman"/>
          <w:sz w:val="24"/>
          <w:szCs w:val="24"/>
        </w:rPr>
        <w:t>измерения на Енергийния съюз</w:t>
      </w:r>
      <w:r w:rsidR="0013220F">
        <w:rPr>
          <w:rFonts w:ascii="Times New Roman" w:eastAsia="Calibri" w:hAnsi="Times New Roman" w:cs="Times New Roman"/>
          <w:sz w:val="24"/>
          <w:szCs w:val="24"/>
        </w:rPr>
        <w:t>.</w:t>
      </w:r>
      <w:r w:rsidRPr="0099146B">
        <w:rPr>
          <w:rFonts w:ascii="Times New Roman" w:eastAsia="Calibri" w:hAnsi="Times New Roman" w:cs="Times New Roman"/>
          <w:sz w:val="24"/>
          <w:szCs w:val="24"/>
        </w:rPr>
        <w:t xml:space="preserve"> </w:t>
      </w:r>
    </w:p>
    <w:p w14:paraId="77AA9B71" w14:textId="727AC895" w:rsidR="00DE7327" w:rsidRDefault="00DE7327" w:rsidP="0013220F">
      <w:pPr>
        <w:spacing w:after="0" w:line="276" w:lineRule="auto"/>
        <w:ind w:firstLine="720"/>
        <w:contextualSpacing/>
        <w:jc w:val="both"/>
        <w:rPr>
          <w:rFonts w:ascii="Times New Roman" w:eastAsia="Calibri" w:hAnsi="Times New Roman" w:cs="Times New Roman"/>
          <w:i/>
          <w:sz w:val="24"/>
          <w:szCs w:val="24"/>
        </w:rPr>
      </w:pPr>
      <w:r w:rsidRPr="00106655">
        <w:rPr>
          <w:rFonts w:ascii="Times New Roman" w:eastAsia="Calibri" w:hAnsi="Times New Roman" w:cs="Times New Roman"/>
          <w:i/>
          <w:sz w:val="24"/>
          <w:szCs w:val="24"/>
        </w:rPr>
        <w:t xml:space="preserve">В </w:t>
      </w:r>
      <w:r>
        <w:rPr>
          <w:rFonts w:ascii="Times New Roman" w:eastAsia="Calibri" w:hAnsi="Times New Roman" w:cs="Times New Roman"/>
          <w:i/>
          <w:sz w:val="24"/>
          <w:szCs w:val="24"/>
        </w:rPr>
        <w:t>Д</w:t>
      </w:r>
      <w:r w:rsidRPr="00106655">
        <w:rPr>
          <w:rFonts w:ascii="Times New Roman" w:eastAsia="Calibri" w:hAnsi="Times New Roman" w:cs="Times New Roman"/>
          <w:i/>
          <w:sz w:val="24"/>
          <w:szCs w:val="24"/>
        </w:rPr>
        <w:t>оклада за екологична оценка ще бъде направен</w:t>
      </w:r>
      <w:r>
        <w:rPr>
          <w:rFonts w:ascii="Times New Roman" w:eastAsia="Calibri" w:hAnsi="Times New Roman" w:cs="Times New Roman"/>
          <w:i/>
          <w:sz w:val="24"/>
          <w:szCs w:val="24"/>
        </w:rPr>
        <w:t xml:space="preserve"> подробен</w:t>
      </w:r>
      <w:r w:rsidRPr="00106655">
        <w:rPr>
          <w:rFonts w:ascii="Times New Roman" w:eastAsia="Calibri" w:hAnsi="Times New Roman" w:cs="Times New Roman"/>
          <w:i/>
          <w:sz w:val="24"/>
          <w:szCs w:val="24"/>
        </w:rPr>
        <w:t xml:space="preserve"> анализ и оценка на текущото състояние на материалните активи, имащи отношение към предвижданията на </w:t>
      </w:r>
      <w:r w:rsidR="005B5EB3">
        <w:rPr>
          <w:rFonts w:ascii="Times New Roman" w:eastAsia="Calibri" w:hAnsi="Times New Roman" w:cs="Times New Roman"/>
          <w:i/>
          <w:sz w:val="24"/>
          <w:szCs w:val="24"/>
        </w:rPr>
        <w:t>ИПЕК</w:t>
      </w:r>
      <w:r>
        <w:rPr>
          <w:rFonts w:ascii="Times New Roman" w:eastAsia="Calibri" w:hAnsi="Times New Roman" w:cs="Times New Roman"/>
          <w:i/>
          <w:sz w:val="24"/>
          <w:szCs w:val="24"/>
        </w:rPr>
        <w:t>.</w:t>
      </w:r>
    </w:p>
    <w:p w14:paraId="671A46F1" w14:textId="77777777" w:rsidR="00DE7327" w:rsidRPr="00DE7327" w:rsidRDefault="00DE7327" w:rsidP="00DE7327">
      <w:pPr>
        <w:spacing w:after="0" w:line="360" w:lineRule="auto"/>
        <w:ind w:firstLine="720"/>
        <w:contextualSpacing/>
        <w:jc w:val="both"/>
        <w:rPr>
          <w:rFonts w:ascii="Times New Roman" w:eastAsia="Calibri" w:hAnsi="Times New Roman" w:cs="Times New Roman"/>
          <w:sz w:val="24"/>
          <w:szCs w:val="24"/>
        </w:rPr>
      </w:pPr>
    </w:p>
    <w:p w14:paraId="7620865B" w14:textId="77777777" w:rsidR="000E0DAB" w:rsidRPr="00DE7327" w:rsidRDefault="000E0DAB" w:rsidP="004F15F5">
      <w:pPr>
        <w:pStyle w:val="Heading5"/>
        <w:numPr>
          <w:ilvl w:val="2"/>
          <w:numId w:val="8"/>
        </w:numPr>
        <w:spacing w:line="276" w:lineRule="auto"/>
        <w:ind w:left="0" w:firstLine="709"/>
        <w:jc w:val="both"/>
        <w:rPr>
          <w:rFonts w:ascii="Times New Roman" w:hAnsi="Times New Roman" w:cs="Times New Roman"/>
          <w:b/>
          <w:i/>
          <w:color w:val="auto"/>
          <w:sz w:val="24"/>
        </w:rPr>
      </w:pPr>
      <w:r w:rsidRPr="00DE7327">
        <w:rPr>
          <w:rFonts w:ascii="Times New Roman" w:hAnsi="Times New Roman" w:cs="Times New Roman"/>
          <w:b/>
          <w:i/>
          <w:color w:val="auto"/>
          <w:sz w:val="24"/>
        </w:rPr>
        <w:t xml:space="preserve">Културно-историческо наследство, включително архитектурно и археологическо наследство </w:t>
      </w:r>
    </w:p>
    <w:p w14:paraId="58CF4618" w14:textId="77777777" w:rsidR="00393BB0" w:rsidRPr="00707EE2" w:rsidRDefault="00393BB0" w:rsidP="00393BB0">
      <w:pPr>
        <w:spacing w:after="0" w:line="276" w:lineRule="auto"/>
        <w:ind w:firstLine="709"/>
        <w:jc w:val="both"/>
        <w:rPr>
          <w:rFonts w:ascii="Times New Roman" w:hAnsi="Times New Roman" w:cs="Times New Roman"/>
          <w:sz w:val="24"/>
          <w:szCs w:val="24"/>
        </w:rPr>
      </w:pPr>
      <w:r w:rsidRPr="00DE7327">
        <w:rPr>
          <w:rFonts w:ascii="Times New Roman" w:hAnsi="Times New Roman" w:cs="Times New Roman"/>
          <w:sz w:val="24"/>
          <w:szCs w:val="24"/>
        </w:rPr>
        <w:t xml:space="preserve">Съгласно чл. 2, ал. 1 от Закона за културното наследство (ЗКН, ДВ бр. 19/2009г. с изм. и доп.), културното наследство обхваща нематериалното и материалното недвижимо и движимо наследство като съвкупност от културни ценности, които са носители на историческа памет, национална идентичност и имат научна или културна стойност. Недвижимото културно наследство обхваща културни ценности, които са трайно закрепени към земята, включително под водата, както и прилежащата им среда. Културна ценност е нематериално или материално свидетелство за човешко присъствие и дейност, природна даденост или феномен, което е от значение за индивида, общността или </w:t>
      </w:r>
      <w:r w:rsidRPr="00707EE2">
        <w:rPr>
          <w:rFonts w:ascii="Times New Roman" w:hAnsi="Times New Roman" w:cs="Times New Roman"/>
          <w:sz w:val="24"/>
          <w:szCs w:val="24"/>
        </w:rPr>
        <w:t>обществото и има научна или културна стойност.</w:t>
      </w:r>
    </w:p>
    <w:p w14:paraId="22C0FC6F" w14:textId="77777777" w:rsidR="00393BB0" w:rsidRPr="00707EE2" w:rsidRDefault="00393BB0" w:rsidP="00393BB0">
      <w:pPr>
        <w:spacing w:after="0" w:line="276" w:lineRule="auto"/>
        <w:ind w:firstLine="709"/>
        <w:jc w:val="both"/>
        <w:rPr>
          <w:rFonts w:ascii="Times New Roman" w:hAnsi="Times New Roman" w:cs="Times New Roman"/>
          <w:sz w:val="24"/>
          <w:szCs w:val="24"/>
        </w:rPr>
      </w:pPr>
      <w:r w:rsidRPr="00707EE2">
        <w:rPr>
          <w:rFonts w:ascii="Times New Roman" w:hAnsi="Times New Roman" w:cs="Times New Roman"/>
          <w:sz w:val="24"/>
          <w:szCs w:val="24"/>
        </w:rPr>
        <w:t>Опазването на културното наследство е базисно условие за устойчивото развитие на териториите и на човешкия фактор предвид неговите ценностни характеристики, неговото културно и познавателно значение за историческия процес на формирането и развитието на европейската цивилизация, и не на последно място, предвид неговия неразвит потенциал за устройство на територията и пространствата по стандартите на устойчивото развитие на средата за оказване на силно стимулиращо въздействие върху развитието на останалите функционални системи (обитаване, труд, отдих, комуникации, транспорт, и пр.) и за развитие на ефективен културен туризъм.</w:t>
      </w:r>
    </w:p>
    <w:p w14:paraId="60A0EF83" w14:textId="77777777" w:rsidR="007C4816" w:rsidRPr="00707EE2" w:rsidRDefault="00393BB0" w:rsidP="00393BB0">
      <w:pPr>
        <w:spacing w:after="0" w:line="276" w:lineRule="auto"/>
        <w:ind w:firstLine="709"/>
        <w:jc w:val="both"/>
        <w:rPr>
          <w:rFonts w:ascii="Times New Roman" w:hAnsi="Times New Roman" w:cs="Times New Roman"/>
          <w:sz w:val="24"/>
          <w:szCs w:val="24"/>
        </w:rPr>
      </w:pPr>
      <w:r w:rsidRPr="00707EE2">
        <w:rPr>
          <w:rFonts w:ascii="Times New Roman" w:hAnsi="Times New Roman" w:cs="Times New Roman"/>
          <w:sz w:val="24"/>
          <w:szCs w:val="24"/>
        </w:rPr>
        <w:t>Общите характеристики на българското културно наследство, развило се в условията на специфичната му териториално-пространствена среда, са:</w:t>
      </w:r>
    </w:p>
    <w:p w14:paraId="19114F7B" w14:textId="77777777" w:rsidR="00393BB0" w:rsidRPr="00707EE2" w:rsidRDefault="00393BB0" w:rsidP="00393BB0">
      <w:pPr>
        <w:spacing w:after="0" w:line="276" w:lineRule="auto"/>
        <w:ind w:firstLine="709"/>
        <w:jc w:val="both"/>
        <w:rPr>
          <w:rFonts w:ascii="Times New Roman" w:hAnsi="Times New Roman" w:cs="Times New Roman"/>
          <w:sz w:val="24"/>
          <w:szCs w:val="24"/>
        </w:rPr>
      </w:pPr>
      <w:r w:rsidRPr="00707EE2">
        <w:rPr>
          <w:rFonts w:ascii="Times New Roman" w:hAnsi="Times New Roman" w:cs="Times New Roman"/>
          <w:sz w:val="24"/>
          <w:szCs w:val="24"/>
        </w:rPr>
        <w:t>–</w:t>
      </w:r>
      <w:r w:rsidR="00BE22DA" w:rsidRPr="00707EE2">
        <w:rPr>
          <w:rFonts w:ascii="Times New Roman" w:hAnsi="Times New Roman" w:cs="Times New Roman"/>
          <w:sz w:val="24"/>
          <w:szCs w:val="24"/>
        </w:rPr>
        <w:t xml:space="preserve"> </w:t>
      </w:r>
      <w:r w:rsidRPr="00707EE2">
        <w:rPr>
          <w:rFonts w:ascii="Times New Roman" w:hAnsi="Times New Roman" w:cs="Times New Roman"/>
          <w:sz w:val="24"/>
          <w:szCs w:val="24"/>
        </w:rPr>
        <w:t xml:space="preserve">Видово, типово, хронологично и естетическо разнообразие на формите, средата и условия на развитие, възможности за многостранна оценка и значение за регионални и </w:t>
      </w:r>
      <w:r w:rsidRPr="00707EE2">
        <w:rPr>
          <w:rFonts w:ascii="Times New Roman" w:hAnsi="Times New Roman" w:cs="Times New Roman"/>
          <w:sz w:val="24"/>
          <w:szCs w:val="24"/>
        </w:rPr>
        <w:lastRenderedPageBreak/>
        <w:t>национални историко-културни процеси, оценка на възможностите за национални и интернационални (в балкански и европейски контексти);</w:t>
      </w:r>
    </w:p>
    <w:p w14:paraId="4822E1D2" w14:textId="77777777" w:rsidR="00393BB0" w:rsidRPr="00707EE2" w:rsidRDefault="00393BB0" w:rsidP="00393BB0">
      <w:pPr>
        <w:spacing w:after="0" w:line="276" w:lineRule="auto"/>
        <w:ind w:firstLine="709"/>
        <w:jc w:val="both"/>
        <w:rPr>
          <w:rFonts w:ascii="Times New Roman" w:hAnsi="Times New Roman" w:cs="Times New Roman"/>
          <w:sz w:val="24"/>
          <w:szCs w:val="24"/>
        </w:rPr>
      </w:pPr>
      <w:r w:rsidRPr="00707EE2">
        <w:rPr>
          <w:rFonts w:ascii="Times New Roman" w:hAnsi="Times New Roman" w:cs="Times New Roman"/>
          <w:sz w:val="24"/>
          <w:szCs w:val="24"/>
        </w:rPr>
        <w:t>–</w:t>
      </w:r>
      <w:r w:rsidR="00BE22DA" w:rsidRPr="00707EE2">
        <w:rPr>
          <w:rFonts w:ascii="Times New Roman" w:hAnsi="Times New Roman" w:cs="Times New Roman"/>
          <w:sz w:val="24"/>
          <w:szCs w:val="24"/>
        </w:rPr>
        <w:t xml:space="preserve"> </w:t>
      </w:r>
      <w:r w:rsidRPr="00707EE2">
        <w:rPr>
          <w:rFonts w:ascii="Times New Roman" w:hAnsi="Times New Roman" w:cs="Times New Roman"/>
          <w:sz w:val="24"/>
          <w:szCs w:val="24"/>
        </w:rPr>
        <w:t>Констатирано е изключително разнообразие във външната форма, смесване и преплитане на явления от различни исторически епохи, което от една страна е следствие от устойчиво селищно и еко</w:t>
      </w:r>
      <w:r w:rsidR="00E640C3" w:rsidRPr="00707EE2">
        <w:rPr>
          <w:rFonts w:ascii="Times New Roman" w:hAnsi="Times New Roman" w:cs="Times New Roman"/>
          <w:sz w:val="24"/>
          <w:szCs w:val="24"/>
        </w:rPr>
        <w:t>-</w:t>
      </w:r>
      <w:r w:rsidRPr="00707EE2">
        <w:rPr>
          <w:rFonts w:ascii="Times New Roman" w:hAnsi="Times New Roman" w:cs="Times New Roman"/>
          <w:sz w:val="24"/>
          <w:szCs w:val="24"/>
        </w:rPr>
        <w:t>съобр</w:t>
      </w:r>
      <w:r w:rsidR="00E640C3" w:rsidRPr="00707EE2">
        <w:rPr>
          <w:rFonts w:ascii="Times New Roman" w:hAnsi="Times New Roman" w:cs="Times New Roman"/>
          <w:sz w:val="24"/>
          <w:szCs w:val="24"/>
        </w:rPr>
        <w:t>а</w:t>
      </w:r>
      <w:r w:rsidRPr="00707EE2">
        <w:rPr>
          <w:rFonts w:ascii="Times New Roman" w:hAnsi="Times New Roman" w:cs="Times New Roman"/>
          <w:sz w:val="24"/>
          <w:szCs w:val="24"/>
        </w:rPr>
        <w:t>зно обитаване, използване на природни даденост и ресурси; разполагане на естествен кръстопът между различни природни и географски зони;</w:t>
      </w:r>
    </w:p>
    <w:p w14:paraId="7D3E21B5" w14:textId="77777777" w:rsidR="00393BB0" w:rsidRPr="00707EE2" w:rsidRDefault="00393BB0" w:rsidP="00393BB0">
      <w:pPr>
        <w:spacing w:after="0" w:line="276" w:lineRule="auto"/>
        <w:ind w:firstLine="709"/>
        <w:jc w:val="both"/>
        <w:rPr>
          <w:rFonts w:ascii="Times New Roman" w:hAnsi="Times New Roman" w:cs="Times New Roman"/>
          <w:sz w:val="24"/>
          <w:szCs w:val="24"/>
        </w:rPr>
      </w:pPr>
      <w:r w:rsidRPr="00707EE2">
        <w:rPr>
          <w:rFonts w:ascii="Times New Roman" w:hAnsi="Times New Roman" w:cs="Times New Roman"/>
          <w:sz w:val="24"/>
          <w:szCs w:val="24"/>
        </w:rPr>
        <w:t>–</w:t>
      </w:r>
      <w:r w:rsidR="00BE22DA" w:rsidRPr="00707EE2">
        <w:rPr>
          <w:rFonts w:ascii="Times New Roman" w:hAnsi="Times New Roman" w:cs="Times New Roman"/>
          <w:sz w:val="24"/>
          <w:szCs w:val="24"/>
        </w:rPr>
        <w:t xml:space="preserve"> </w:t>
      </w:r>
      <w:r w:rsidRPr="00707EE2">
        <w:rPr>
          <w:rFonts w:ascii="Times New Roman" w:hAnsi="Times New Roman" w:cs="Times New Roman"/>
          <w:sz w:val="24"/>
          <w:szCs w:val="24"/>
        </w:rPr>
        <w:t>Разнообразието на външни прояви е изключително разнообразно. То се проявява в различна съвременна среда: в обитавана (трайно урбанизирана) съвременна среда, урбанизирането (индустриализирането) на нови площи, земеделски земи, усвояването на незасегнати до този момент терени, горски фонд, в акваторията.</w:t>
      </w:r>
    </w:p>
    <w:p w14:paraId="53A01696" w14:textId="77777777" w:rsidR="00393BB0" w:rsidRPr="00707EE2" w:rsidRDefault="00BE22DA" w:rsidP="00393BB0">
      <w:pPr>
        <w:spacing w:after="0" w:line="276" w:lineRule="auto"/>
        <w:ind w:firstLine="709"/>
        <w:jc w:val="both"/>
        <w:rPr>
          <w:rFonts w:ascii="Times New Roman" w:hAnsi="Times New Roman" w:cs="Times New Roman"/>
          <w:sz w:val="24"/>
          <w:szCs w:val="24"/>
        </w:rPr>
      </w:pPr>
      <w:r w:rsidRPr="00707EE2">
        <w:rPr>
          <w:rFonts w:ascii="Times New Roman" w:hAnsi="Times New Roman" w:cs="Times New Roman"/>
          <w:sz w:val="24"/>
          <w:szCs w:val="24"/>
        </w:rPr>
        <w:t>Н</w:t>
      </w:r>
      <w:r w:rsidR="00393BB0" w:rsidRPr="00707EE2">
        <w:rPr>
          <w:rFonts w:ascii="Times New Roman" w:hAnsi="Times New Roman" w:cs="Times New Roman"/>
          <w:sz w:val="24"/>
          <w:szCs w:val="24"/>
        </w:rPr>
        <w:t>едвижимото културно наследство се класифицира</w:t>
      </w:r>
      <w:r w:rsidRPr="00707EE2">
        <w:rPr>
          <w:rFonts w:ascii="Times New Roman" w:hAnsi="Times New Roman" w:cs="Times New Roman"/>
          <w:sz w:val="24"/>
          <w:szCs w:val="24"/>
        </w:rPr>
        <w:t xml:space="preserve"> като</w:t>
      </w:r>
      <w:r w:rsidR="00393BB0" w:rsidRPr="00707EE2">
        <w:rPr>
          <w:rFonts w:ascii="Times New Roman" w:hAnsi="Times New Roman" w:cs="Times New Roman"/>
          <w:sz w:val="24"/>
          <w:szCs w:val="24"/>
        </w:rPr>
        <w:t>: обекти със световно значение (в листата на ЮНЕСКО), с национално значение (всички резервати, независимо дали са в градска или извънградска среда), с местно значение. Новорегистрираните недвижими културни ценности автоматично получават статут „с национално значение“ до провеждане на специална комисия за определяне на статут и терен.</w:t>
      </w:r>
    </w:p>
    <w:p w14:paraId="3F8F5FD2" w14:textId="77777777" w:rsidR="00393BB0" w:rsidRPr="00707EE2" w:rsidRDefault="00393BB0" w:rsidP="00393BB0">
      <w:pPr>
        <w:spacing w:after="0" w:line="276" w:lineRule="auto"/>
        <w:ind w:firstLine="709"/>
        <w:jc w:val="both"/>
        <w:rPr>
          <w:rFonts w:ascii="Times New Roman" w:hAnsi="Times New Roman" w:cs="Times New Roman"/>
          <w:sz w:val="24"/>
          <w:szCs w:val="24"/>
        </w:rPr>
      </w:pPr>
      <w:r w:rsidRPr="00707EE2">
        <w:rPr>
          <w:rFonts w:ascii="Times New Roman" w:hAnsi="Times New Roman" w:cs="Times New Roman"/>
          <w:sz w:val="24"/>
          <w:szCs w:val="24"/>
        </w:rPr>
        <w:t>В Б</w:t>
      </w:r>
      <w:r w:rsidR="00BE22DA" w:rsidRPr="00707EE2">
        <w:rPr>
          <w:rFonts w:ascii="Times New Roman" w:hAnsi="Times New Roman" w:cs="Times New Roman"/>
          <w:sz w:val="24"/>
          <w:szCs w:val="24"/>
        </w:rPr>
        <w:t>ългария</w:t>
      </w:r>
      <w:r w:rsidRPr="00707EE2">
        <w:rPr>
          <w:rFonts w:ascii="Times New Roman" w:hAnsi="Times New Roman" w:cs="Times New Roman"/>
          <w:sz w:val="24"/>
          <w:szCs w:val="24"/>
        </w:rPr>
        <w:t xml:space="preserve"> </w:t>
      </w:r>
      <w:r w:rsidR="00BE22DA" w:rsidRPr="00707EE2">
        <w:rPr>
          <w:rFonts w:ascii="Times New Roman" w:hAnsi="Times New Roman" w:cs="Times New Roman"/>
          <w:sz w:val="24"/>
          <w:szCs w:val="24"/>
        </w:rPr>
        <w:t xml:space="preserve">има разработен </w:t>
      </w:r>
      <w:r w:rsidRPr="00707EE2">
        <w:rPr>
          <w:rFonts w:ascii="Times New Roman" w:hAnsi="Times New Roman" w:cs="Times New Roman"/>
          <w:sz w:val="24"/>
          <w:szCs w:val="24"/>
        </w:rPr>
        <w:t xml:space="preserve">единен регистър на НКЦ </w:t>
      </w:r>
      <w:r w:rsidR="00BE22DA" w:rsidRPr="00707EE2">
        <w:rPr>
          <w:rFonts w:ascii="Times New Roman" w:hAnsi="Times New Roman" w:cs="Times New Roman"/>
          <w:sz w:val="24"/>
          <w:szCs w:val="24"/>
        </w:rPr>
        <w:t>към</w:t>
      </w:r>
      <w:r w:rsidRPr="00707EE2">
        <w:rPr>
          <w:rFonts w:ascii="Times New Roman" w:hAnsi="Times New Roman" w:cs="Times New Roman"/>
          <w:sz w:val="24"/>
          <w:szCs w:val="24"/>
        </w:rPr>
        <w:t xml:space="preserve"> НИНКН</w:t>
      </w:r>
      <w:r w:rsidR="00BE22DA" w:rsidRPr="00707EE2">
        <w:rPr>
          <w:rFonts w:ascii="Times New Roman" w:hAnsi="Times New Roman" w:cs="Times New Roman"/>
          <w:sz w:val="24"/>
          <w:szCs w:val="24"/>
        </w:rPr>
        <w:t>, специализирана структура на М</w:t>
      </w:r>
      <w:r w:rsidRPr="00707EE2">
        <w:rPr>
          <w:rFonts w:ascii="Times New Roman" w:hAnsi="Times New Roman" w:cs="Times New Roman"/>
          <w:sz w:val="24"/>
          <w:szCs w:val="24"/>
        </w:rPr>
        <w:t xml:space="preserve">инистерство на културата. </w:t>
      </w:r>
      <w:r w:rsidR="00BE22DA" w:rsidRPr="00707EE2">
        <w:rPr>
          <w:rFonts w:ascii="Times New Roman" w:hAnsi="Times New Roman" w:cs="Times New Roman"/>
          <w:sz w:val="24"/>
          <w:szCs w:val="24"/>
        </w:rPr>
        <w:t xml:space="preserve">Регистърът </w:t>
      </w:r>
      <w:r w:rsidRPr="00707EE2">
        <w:rPr>
          <w:rFonts w:ascii="Times New Roman" w:hAnsi="Times New Roman" w:cs="Times New Roman"/>
          <w:sz w:val="24"/>
          <w:szCs w:val="24"/>
        </w:rPr>
        <w:t>се актуализира ежегодно</w:t>
      </w:r>
      <w:r w:rsidR="00BE22DA" w:rsidRPr="00707EE2">
        <w:rPr>
          <w:rFonts w:ascii="Times New Roman" w:hAnsi="Times New Roman" w:cs="Times New Roman"/>
          <w:sz w:val="24"/>
          <w:szCs w:val="24"/>
        </w:rPr>
        <w:t>,</w:t>
      </w:r>
      <w:r w:rsidRPr="00707EE2">
        <w:rPr>
          <w:rFonts w:ascii="Times New Roman" w:hAnsi="Times New Roman" w:cs="Times New Roman"/>
          <w:sz w:val="24"/>
          <w:szCs w:val="24"/>
        </w:rPr>
        <w:t xml:space="preserve"> при провеждане на съответните регистрационни и инспекционни дейности. Той е за служебно ползване и за него не се публикуват периодични данни. Друга</w:t>
      </w:r>
      <w:r w:rsidR="00BE22DA" w:rsidRPr="00707EE2">
        <w:rPr>
          <w:rFonts w:ascii="Times New Roman" w:hAnsi="Times New Roman" w:cs="Times New Roman"/>
          <w:sz w:val="24"/>
          <w:szCs w:val="24"/>
        </w:rPr>
        <w:t>та съществуваща</w:t>
      </w:r>
      <w:r w:rsidRPr="00707EE2">
        <w:rPr>
          <w:rFonts w:ascii="Times New Roman" w:hAnsi="Times New Roman" w:cs="Times New Roman"/>
          <w:sz w:val="24"/>
          <w:szCs w:val="24"/>
        </w:rPr>
        <w:t xml:space="preserve"> база </w:t>
      </w:r>
      <w:r w:rsidR="00BE22DA" w:rsidRPr="00707EE2">
        <w:rPr>
          <w:rFonts w:ascii="Times New Roman" w:hAnsi="Times New Roman" w:cs="Times New Roman"/>
          <w:sz w:val="24"/>
          <w:szCs w:val="24"/>
        </w:rPr>
        <w:t xml:space="preserve">с </w:t>
      </w:r>
      <w:r w:rsidRPr="00707EE2">
        <w:rPr>
          <w:rFonts w:ascii="Times New Roman" w:hAnsi="Times New Roman" w:cs="Times New Roman"/>
          <w:sz w:val="24"/>
          <w:szCs w:val="24"/>
        </w:rPr>
        <w:t>данни е изградена в рамките на Автоматизирана информационна система „Археологическа карта на България“</w:t>
      </w:r>
      <w:r w:rsidR="00BE22DA" w:rsidRPr="00707EE2">
        <w:rPr>
          <w:rFonts w:ascii="Times New Roman" w:hAnsi="Times New Roman" w:cs="Times New Roman"/>
          <w:sz w:val="24"/>
          <w:szCs w:val="24"/>
        </w:rPr>
        <w:t xml:space="preserve">, която представлява </w:t>
      </w:r>
      <w:r w:rsidRPr="00707EE2">
        <w:rPr>
          <w:rFonts w:ascii="Times New Roman" w:hAnsi="Times New Roman" w:cs="Times New Roman"/>
          <w:sz w:val="24"/>
          <w:szCs w:val="24"/>
        </w:rPr>
        <w:t xml:space="preserve">научен проект, свързан с регистриране на НКЦ (археологически обекти). Научно е развиван, ръководен и администриран от </w:t>
      </w:r>
      <w:r w:rsidR="00BE22DA" w:rsidRPr="00707EE2">
        <w:rPr>
          <w:rFonts w:ascii="Times New Roman" w:hAnsi="Times New Roman" w:cs="Times New Roman"/>
          <w:sz w:val="24"/>
          <w:szCs w:val="24"/>
        </w:rPr>
        <w:t>Националния археологически музей към Българската академия на науките</w:t>
      </w:r>
      <w:r w:rsidRPr="00707EE2">
        <w:rPr>
          <w:rFonts w:ascii="Times New Roman" w:hAnsi="Times New Roman" w:cs="Times New Roman"/>
          <w:sz w:val="24"/>
          <w:szCs w:val="24"/>
        </w:rPr>
        <w:t>. Той обслужва държавни, обществени, общински институции и граждани. Трета</w:t>
      </w:r>
      <w:r w:rsidR="00BE22DA" w:rsidRPr="00707EE2">
        <w:rPr>
          <w:rFonts w:ascii="Times New Roman" w:hAnsi="Times New Roman" w:cs="Times New Roman"/>
          <w:sz w:val="24"/>
          <w:szCs w:val="24"/>
        </w:rPr>
        <w:t>та</w:t>
      </w:r>
      <w:r w:rsidRPr="00707EE2">
        <w:rPr>
          <w:rFonts w:ascii="Times New Roman" w:hAnsi="Times New Roman" w:cs="Times New Roman"/>
          <w:sz w:val="24"/>
          <w:szCs w:val="24"/>
        </w:rPr>
        <w:t xml:space="preserve"> база </w:t>
      </w:r>
      <w:r w:rsidR="00BE22DA" w:rsidRPr="00707EE2">
        <w:rPr>
          <w:rFonts w:ascii="Times New Roman" w:hAnsi="Times New Roman" w:cs="Times New Roman"/>
          <w:sz w:val="24"/>
          <w:szCs w:val="24"/>
        </w:rPr>
        <w:t xml:space="preserve">с </w:t>
      </w:r>
      <w:r w:rsidRPr="00707EE2">
        <w:rPr>
          <w:rFonts w:ascii="Times New Roman" w:hAnsi="Times New Roman" w:cs="Times New Roman"/>
          <w:sz w:val="24"/>
          <w:szCs w:val="24"/>
        </w:rPr>
        <w:t>данни се поддържа на териториален принцип от Регионалните исторически музеи.</w:t>
      </w:r>
    </w:p>
    <w:p w14:paraId="7A5BC145" w14:textId="77777777" w:rsidR="00393BB0" w:rsidRPr="00707EE2" w:rsidRDefault="00393BB0" w:rsidP="00393BB0">
      <w:pPr>
        <w:spacing w:after="0" w:line="276" w:lineRule="auto"/>
        <w:ind w:firstLine="709"/>
        <w:jc w:val="both"/>
        <w:rPr>
          <w:rFonts w:ascii="Times New Roman" w:hAnsi="Times New Roman" w:cs="Times New Roman"/>
          <w:sz w:val="24"/>
          <w:szCs w:val="24"/>
        </w:rPr>
      </w:pPr>
      <w:r w:rsidRPr="00707EE2">
        <w:rPr>
          <w:rFonts w:ascii="Times New Roman" w:hAnsi="Times New Roman" w:cs="Times New Roman"/>
          <w:i/>
          <w:iCs/>
          <w:sz w:val="24"/>
          <w:szCs w:val="24"/>
        </w:rPr>
        <w:t>Предвид значимостта на културното наследство и потенциалната възможност за неговото засягане, в Доклада за екологична оценка този аспект ще бъде разгледан подробно.</w:t>
      </w:r>
    </w:p>
    <w:p w14:paraId="2D1266EF" w14:textId="77777777" w:rsidR="00393BB0" w:rsidRPr="00707EE2" w:rsidRDefault="00393BB0" w:rsidP="00393BB0">
      <w:pPr>
        <w:spacing w:after="0" w:line="276" w:lineRule="auto"/>
        <w:ind w:firstLine="709"/>
        <w:jc w:val="both"/>
        <w:rPr>
          <w:rFonts w:ascii="Times New Roman" w:hAnsi="Times New Roman" w:cs="Times New Roman"/>
          <w:sz w:val="24"/>
          <w:szCs w:val="24"/>
        </w:rPr>
      </w:pPr>
    </w:p>
    <w:p w14:paraId="3603A3D6" w14:textId="77777777" w:rsidR="000E0DAB" w:rsidRPr="00707EE2" w:rsidRDefault="000E0DAB" w:rsidP="004F15F5">
      <w:pPr>
        <w:pStyle w:val="Heading5"/>
        <w:numPr>
          <w:ilvl w:val="2"/>
          <w:numId w:val="8"/>
        </w:numPr>
        <w:spacing w:line="276" w:lineRule="auto"/>
        <w:ind w:left="0" w:firstLine="709"/>
        <w:jc w:val="both"/>
        <w:rPr>
          <w:rFonts w:ascii="Times New Roman" w:hAnsi="Times New Roman" w:cs="Times New Roman"/>
          <w:b/>
          <w:i/>
          <w:color w:val="auto"/>
          <w:sz w:val="24"/>
        </w:rPr>
      </w:pPr>
      <w:r w:rsidRPr="00707EE2">
        <w:rPr>
          <w:rFonts w:ascii="Times New Roman" w:hAnsi="Times New Roman" w:cs="Times New Roman"/>
          <w:b/>
          <w:i/>
          <w:color w:val="auto"/>
          <w:sz w:val="24"/>
        </w:rPr>
        <w:t>Състояние по отношение на вредн</w:t>
      </w:r>
      <w:r w:rsidR="00114F36" w:rsidRPr="00707EE2">
        <w:rPr>
          <w:rFonts w:ascii="Times New Roman" w:hAnsi="Times New Roman" w:cs="Times New Roman"/>
          <w:b/>
          <w:i/>
          <w:color w:val="auto"/>
          <w:sz w:val="24"/>
        </w:rPr>
        <w:t>ите физични фактори</w:t>
      </w:r>
      <w:r w:rsidR="007C4816" w:rsidRPr="00707EE2">
        <w:rPr>
          <w:rFonts w:ascii="Times New Roman" w:hAnsi="Times New Roman" w:cs="Times New Roman"/>
          <w:b/>
          <w:i/>
          <w:color w:val="auto"/>
          <w:sz w:val="24"/>
        </w:rPr>
        <w:t xml:space="preserve"> </w:t>
      </w:r>
    </w:p>
    <w:p w14:paraId="44B10762" w14:textId="77777777" w:rsidR="00F35149" w:rsidRPr="00707EE2" w:rsidRDefault="00F35149" w:rsidP="00F35149">
      <w:pPr>
        <w:spacing w:before="120" w:after="0" w:line="276" w:lineRule="auto"/>
        <w:ind w:firstLine="720"/>
        <w:jc w:val="both"/>
        <w:rPr>
          <w:rFonts w:ascii="Times New Roman" w:eastAsia="Times New Roman" w:hAnsi="Times New Roman" w:cs="Times New Roman"/>
          <w:sz w:val="24"/>
          <w:szCs w:val="24"/>
          <w:lang w:eastAsia="bg-BG"/>
        </w:rPr>
      </w:pPr>
      <w:r w:rsidRPr="00707EE2">
        <w:rPr>
          <w:rFonts w:ascii="Times New Roman" w:eastAsia="Times New Roman" w:hAnsi="Times New Roman" w:cs="Times New Roman"/>
          <w:sz w:val="24"/>
          <w:szCs w:val="24"/>
          <w:lang w:eastAsia="bg-BG"/>
        </w:rPr>
        <w:t xml:space="preserve">За ограничаване на вредното въздействие на шума в околната среда се прилага </w:t>
      </w:r>
      <w:r w:rsidRPr="00707EE2">
        <w:rPr>
          <w:rFonts w:ascii="Times New Roman" w:eastAsia="Times New Roman" w:hAnsi="Times New Roman" w:cs="Times New Roman"/>
          <w:i/>
          <w:iCs/>
          <w:sz w:val="24"/>
          <w:szCs w:val="24"/>
          <w:lang w:eastAsia="bg-BG"/>
        </w:rPr>
        <w:t>Директива 2002/49/ЕО от 25.06.2002 г. за оценка и управление на шума в околната среда</w:t>
      </w:r>
      <w:r w:rsidRPr="00707EE2">
        <w:rPr>
          <w:rFonts w:ascii="Times New Roman" w:eastAsia="Times New Roman" w:hAnsi="Times New Roman" w:cs="Times New Roman"/>
          <w:sz w:val="24"/>
          <w:szCs w:val="24"/>
          <w:lang w:eastAsia="bg-BG"/>
        </w:rPr>
        <w:t>.</w:t>
      </w:r>
    </w:p>
    <w:p w14:paraId="56750EBF" w14:textId="77777777" w:rsidR="00F35149" w:rsidRPr="00707EE2" w:rsidRDefault="00F35149" w:rsidP="00F35149">
      <w:pPr>
        <w:spacing w:after="0" w:line="276" w:lineRule="auto"/>
        <w:ind w:firstLine="720"/>
        <w:jc w:val="both"/>
        <w:rPr>
          <w:rFonts w:ascii="Times New Roman" w:eastAsia="Times New Roman" w:hAnsi="Times New Roman" w:cs="Times New Roman"/>
          <w:sz w:val="24"/>
          <w:szCs w:val="24"/>
          <w:lang w:eastAsia="bg-BG"/>
        </w:rPr>
      </w:pPr>
      <w:r w:rsidRPr="00707EE2">
        <w:rPr>
          <w:rFonts w:ascii="Times New Roman" w:eastAsia="Times New Roman" w:hAnsi="Times New Roman" w:cs="Times New Roman"/>
          <w:sz w:val="24"/>
          <w:szCs w:val="24"/>
          <w:lang w:eastAsia="bg-BG"/>
        </w:rPr>
        <w:t xml:space="preserve">Основните изисквания на Директива 2002/49/ЕО са въведени в националното ни законодателство чрез </w:t>
      </w:r>
      <w:r w:rsidRPr="00707EE2">
        <w:rPr>
          <w:rFonts w:ascii="Times New Roman" w:eastAsia="Times New Roman" w:hAnsi="Times New Roman" w:cs="Times New Roman"/>
          <w:i/>
          <w:iCs/>
          <w:sz w:val="24"/>
          <w:szCs w:val="24"/>
          <w:lang w:eastAsia="bg-BG"/>
        </w:rPr>
        <w:t>Закона за защита от шума в околната среда</w:t>
      </w:r>
      <w:r w:rsidRPr="00707EE2">
        <w:rPr>
          <w:rFonts w:ascii="Times New Roman" w:eastAsia="Times New Roman" w:hAnsi="Times New Roman" w:cs="Times New Roman"/>
          <w:sz w:val="24"/>
          <w:szCs w:val="24"/>
          <w:lang w:eastAsia="bg-BG"/>
        </w:rPr>
        <w:t xml:space="preserve"> и подзаконовата нормативна уредба към него. </w:t>
      </w:r>
    </w:p>
    <w:p w14:paraId="63C38E8D" w14:textId="77777777" w:rsidR="00F35149" w:rsidRPr="00707EE2" w:rsidRDefault="00F35149" w:rsidP="00F35149">
      <w:pPr>
        <w:spacing w:after="0" w:line="276" w:lineRule="auto"/>
        <w:ind w:firstLine="720"/>
        <w:jc w:val="both"/>
        <w:rPr>
          <w:rFonts w:ascii="Times New Roman" w:eastAsia="Times New Roman" w:hAnsi="Times New Roman" w:cs="Times New Roman"/>
          <w:sz w:val="24"/>
          <w:szCs w:val="24"/>
          <w:lang w:eastAsia="bg-BG"/>
        </w:rPr>
      </w:pPr>
      <w:r w:rsidRPr="00707EE2">
        <w:rPr>
          <w:rFonts w:ascii="Times New Roman" w:eastAsia="Times New Roman" w:hAnsi="Times New Roman" w:cs="Times New Roman"/>
          <w:sz w:val="24"/>
          <w:szCs w:val="24"/>
          <w:lang w:eastAsia="bg-BG"/>
        </w:rPr>
        <w:t xml:space="preserve">В </w:t>
      </w:r>
      <w:r w:rsidRPr="00707EE2">
        <w:rPr>
          <w:rFonts w:ascii="Times New Roman" w:eastAsia="Times New Roman" w:hAnsi="Times New Roman" w:cs="Times New Roman"/>
          <w:i/>
          <w:iCs/>
          <w:sz w:val="24"/>
          <w:szCs w:val="24"/>
          <w:lang w:eastAsia="bg-BG"/>
        </w:rPr>
        <w:t xml:space="preserve">Наредба № 6 от 26.06.2006 г.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вредните ефекти от шума върху здравето на </w:t>
      </w:r>
      <w:r w:rsidRPr="00707EE2">
        <w:rPr>
          <w:rFonts w:ascii="Times New Roman" w:eastAsia="Times New Roman" w:hAnsi="Times New Roman" w:cs="Times New Roman"/>
          <w:i/>
          <w:iCs/>
          <w:sz w:val="24"/>
          <w:szCs w:val="24"/>
          <w:lang w:eastAsia="bg-BG"/>
        </w:rPr>
        <w:lastRenderedPageBreak/>
        <w:t>населението</w:t>
      </w:r>
      <w:r w:rsidRPr="00707EE2">
        <w:rPr>
          <w:rFonts w:ascii="Times New Roman" w:eastAsia="Times New Roman" w:hAnsi="Times New Roman" w:cs="Times New Roman"/>
          <w:sz w:val="24"/>
          <w:szCs w:val="24"/>
          <w:lang w:eastAsia="bg-BG"/>
        </w:rPr>
        <w:t>, е определен основния показател за оценка на шумовото въздействие – еквивалентно ниво на шум Leq, dBA за трите периода от денонощието дневен (07:00-19:00 ч.), вечерен (19:00 – 23:00 ч.), нощен (23:00 – 07:00 ч.).</w:t>
      </w:r>
    </w:p>
    <w:p w14:paraId="604096E8" w14:textId="77777777" w:rsidR="00F35149" w:rsidRPr="00707EE2" w:rsidRDefault="00F35149" w:rsidP="00F35149">
      <w:pPr>
        <w:spacing w:after="0" w:line="276" w:lineRule="auto"/>
        <w:ind w:firstLine="720"/>
        <w:jc w:val="both"/>
        <w:rPr>
          <w:rFonts w:ascii="Times New Roman" w:eastAsia="Times New Roman" w:hAnsi="Times New Roman" w:cs="Times New Roman"/>
          <w:sz w:val="24"/>
          <w:szCs w:val="24"/>
          <w:lang w:eastAsia="bg-BG"/>
        </w:rPr>
      </w:pPr>
      <w:r w:rsidRPr="00707EE2">
        <w:rPr>
          <w:rFonts w:ascii="Times New Roman" w:eastAsia="Times New Roman" w:hAnsi="Times New Roman" w:cs="Times New Roman"/>
          <w:sz w:val="24"/>
          <w:szCs w:val="24"/>
          <w:lang w:eastAsia="bg-BG"/>
        </w:rPr>
        <w:t xml:space="preserve">Граничните стойности на нивата на шума в различните територии и устройствени зони в урбанизираните територии и извън тях са регламентирани в Наредба № 6 и са посочени в следващата таблица: </w:t>
      </w:r>
    </w:p>
    <w:p w14:paraId="28EA1A66" w14:textId="77777777" w:rsidR="00F35149" w:rsidRPr="00707EE2" w:rsidRDefault="00F35149" w:rsidP="00F35149">
      <w:pPr>
        <w:spacing w:after="0" w:line="276" w:lineRule="auto"/>
        <w:jc w:val="center"/>
        <w:rPr>
          <w:rFonts w:ascii="Times New Roman" w:eastAsia="Times New Roman" w:hAnsi="Times New Roman" w:cs="Times New Roman"/>
          <w:b/>
          <w:bCs/>
          <w:sz w:val="24"/>
          <w:szCs w:val="24"/>
          <w:lang w:eastAsia="bg-BG"/>
        </w:rPr>
      </w:pPr>
      <w:r w:rsidRPr="00707EE2">
        <w:rPr>
          <w:rFonts w:ascii="Times New Roman" w:eastAsia="Times New Roman" w:hAnsi="Times New Roman" w:cs="Times New Roman"/>
          <w:b/>
          <w:bCs/>
          <w:i/>
          <w:iCs/>
          <w:sz w:val="24"/>
          <w:szCs w:val="24"/>
          <w:lang w:eastAsia="bg-BG"/>
        </w:rPr>
        <w:t>Таблица№ 2.1.14-1</w:t>
      </w:r>
      <w:r w:rsidRPr="00707EE2">
        <w:rPr>
          <w:rFonts w:ascii="Times New Roman" w:hAnsi="Times New Roman" w:cs="Times New Roman"/>
          <w:b/>
          <w:bCs/>
          <w:i/>
          <w:iCs/>
          <w:sz w:val="24"/>
          <w:szCs w:val="24"/>
        </w:rPr>
        <w:t xml:space="preserve"> </w:t>
      </w:r>
      <w:r w:rsidRPr="00707EE2">
        <w:rPr>
          <w:rFonts w:ascii="Times New Roman" w:eastAsia="Times New Roman" w:hAnsi="Times New Roman" w:cs="Times New Roman"/>
          <w:b/>
          <w:bCs/>
          <w:i/>
          <w:iCs/>
          <w:sz w:val="24"/>
          <w:szCs w:val="24"/>
          <w:lang w:eastAsia="bg-BG"/>
        </w:rPr>
        <w:t>Граничните стойности на нивата на шума в различните територии и устройствени зони в урбанизираните територии и извън тях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4"/>
        <w:gridCol w:w="898"/>
        <w:gridCol w:w="1275"/>
        <w:gridCol w:w="1043"/>
      </w:tblGrid>
      <w:tr w:rsidR="00F35149" w:rsidRPr="00707EE2" w14:paraId="5E69CB8A" w14:textId="77777777" w:rsidTr="009C61E9">
        <w:trPr>
          <w:jc w:val="center"/>
        </w:trPr>
        <w:tc>
          <w:tcPr>
            <w:tcW w:w="3280" w:type="pct"/>
            <w:tcBorders>
              <w:top w:val="single" w:sz="4" w:space="0" w:color="auto"/>
              <w:left w:val="single" w:sz="4" w:space="0" w:color="auto"/>
              <w:bottom w:val="nil"/>
              <w:right w:val="single" w:sz="4" w:space="0" w:color="auto"/>
            </w:tcBorders>
            <w:shd w:val="clear" w:color="auto" w:fill="FFFFCC"/>
            <w:hideMark/>
          </w:tcPr>
          <w:p w14:paraId="380385E9" w14:textId="77777777" w:rsidR="00F35149" w:rsidRPr="00707EE2" w:rsidRDefault="00F35149" w:rsidP="00F35149">
            <w:pPr>
              <w:spacing w:after="0" w:line="276" w:lineRule="auto"/>
              <w:jc w:val="center"/>
              <w:rPr>
                <w:rFonts w:ascii="Times New Roman" w:eastAsia="Times New Roman" w:hAnsi="Times New Roman" w:cs="Times New Roman"/>
                <w:b/>
                <w:bCs/>
                <w:lang w:eastAsia="bg-BG"/>
              </w:rPr>
            </w:pPr>
            <w:r w:rsidRPr="00707EE2">
              <w:rPr>
                <w:rFonts w:ascii="Times New Roman" w:eastAsia="Times New Roman" w:hAnsi="Times New Roman" w:cs="Times New Roman"/>
                <w:b/>
                <w:bCs/>
                <w:lang w:eastAsia="bg-BG"/>
              </w:rPr>
              <w:t>Територии и устройствени зони в урбанизирани територии и извън тях</w:t>
            </w:r>
          </w:p>
        </w:tc>
        <w:tc>
          <w:tcPr>
            <w:tcW w:w="1720" w:type="pct"/>
            <w:gridSpan w:val="3"/>
            <w:tcBorders>
              <w:top w:val="single" w:sz="4" w:space="0" w:color="auto"/>
              <w:left w:val="single" w:sz="4" w:space="0" w:color="auto"/>
              <w:bottom w:val="single" w:sz="4" w:space="0" w:color="auto"/>
              <w:right w:val="single" w:sz="4" w:space="0" w:color="auto"/>
            </w:tcBorders>
            <w:shd w:val="clear" w:color="auto" w:fill="FFFFCC"/>
            <w:hideMark/>
          </w:tcPr>
          <w:p w14:paraId="7A3500BA" w14:textId="77777777" w:rsidR="00F35149" w:rsidRPr="00707EE2" w:rsidRDefault="00F35149" w:rsidP="00F35149">
            <w:pPr>
              <w:spacing w:after="0" w:line="276" w:lineRule="auto"/>
              <w:jc w:val="center"/>
              <w:rPr>
                <w:rFonts w:ascii="Times New Roman" w:eastAsia="Times New Roman" w:hAnsi="Times New Roman" w:cs="Times New Roman"/>
                <w:b/>
                <w:bCs/>
                <w:lang w:eastAsia="bg-BG"/>
              </w:rPr>
            </w:pPr>
            <w:r w:rsidRPr="00707EE2">
              <w:rPr>
                <w:rFonts w:ascii="Times New Roman" w:eastAsia="Times New Roman" w:hAnsi="Times New Roman" w:cs="Times New Roman"/>
                <w:b/>
                <w:bCs/>
                <w:lang w:eastAsia="bg-BG"/>
              </w:rPr>
              <w:t xml:space="preserve">Еквивалентно ниво на шума </w:t>
            </w:r>
            <w:r w:rsidRPr="00707EE2">
              <w:rPr>
                <w:rFonts w:ascii="Times New Roman" w:eastAsia="Times New Roman" w:hAnsi="Times New Roman" w:cs="Times New Roman"/>
                <w:b/>
                <w:bCs/>
                <w:i/>
                <w:iCs/>
                <w:lang w:eastAsia="bg-BG"/>
              </w:rPr>
              <w:t>dB(A)</w:t>
            </w:r>
          </w:p>
        </w:tc>
      </w:tr>
      <w:tr w:rsidR="00F35149" w:rsidRPr="00707EE2" w14:paraId="0F0FCDF1" w14:textId="77777777" w:rsidTr="009C61E9">
        <w:trPr>
          <w:jc w:val="center"/>
        </w:trPr>
        <w:tc>
          <w:tcPr>
            <w:tcW w:w="3280" w:type="pct"/>
            <w:tcBorders>
              <w:top w:val="nil"/>
              <w:left w:val="single" w:sz="4" w:space="0" w:color="auto"/>
              <w:bottom w:val="single" w:sz="4" w:space="0" w:color="auto"/>
              <w:right w:val="single" w:sz="4" w:space="0" w:color="auto"/>
            </w:tcBorders>
            <w:shd w:val="clear" w:color="auto" w:fill="FFFFCC"/>
          </w:tcPr>
          <w:p w14:paraId="1BB26399" w14:textId="77777777" w:rsidR="00F35149" w:rsidRPr="00707EE2" w:rsidRDefault="00F35149" w:rsidP="00F35149">
            <w:pPr>
              <w:spacing w:after="0" w:line="276" w:lineRule="auto"/>
              <w:jc w:val="both"/>
              <w:rPr>
                <w:rFonts w:ascii="Times New Roman" w:eastAsia="Times New Roman" w:hAnsi="Times New Roman" w:cs="Times New Roman"/>
                <w:b/>
                <w:bCs/>
                <w:lang w:eastAsia="bg-BG"/>
              </w:rPr>
            </w:pPr>
          </w:p>
        </w:tc>
        <w:tc>
          <w:tcPr>
            <w:tcW w:w="480" w:type="pct"/>
            <w:tcBorders>
              <w:top w:val="single" w:sz="4" w:space="0" w:color="auto"/>
              <w:left w:val="single" w:sz="4" w:space="0" w:color="auto"/>
              <w:bottom w:val="single" w:sz="4" w:space="0" w:color="auto"/>
              <w:right w:val="single" w:sz="4" w:space="0" w:color="auto"/>
            </w:tcBorders>
            <w:shd w:val="clear" w:color="auto" w:fill="FFFFCC"/>
            <w:hideMark/>
          </w:tcPr>
          <w:p w14:paraId="25A39EBA" w14:textId="77777777" w:rsidR="00F35149" w:rsidRPr="00707EE2" w:rsidRDefault="00F35149" w:rsidP="00F35149">
            <w:pPr>
              <w:spacing w:after="0" w:line="276" w:lineRule="auto"/>
              <w:jc w:val="center"/>
              <w:rPr>
                <w:rFonts w:ascii="Times New Roman" w:eastAsia="Times New Roman" w:hAnsi="Times New Roman" w:cs="Times New Roman"/>
                <w:b/>
                <w:bCs/>
                <w:lang w:eastAsia="bg-BG"/>
              </w:rPr>
            </w:pPr>
            <w:r w:rsidRPr="00707EE2">
              <w:rPr>
                <w:rFonts w:ascii="Times New Roman" w:eastAsia="Times New Roman" w:hAnsi="Times New Roman" w:cs="Times New Roman"/>
                <w:b/>
                <w:bCs/>
                <w:lang w:eastAsia="bg-BG"/>
              </w:rPr>
              <w:t>ден</w:t>
            </w:r>
          </w:p>
        </w:tc>
        <w:tc>
          <w:tcPr>
            <w:tcW w:w="682" w:type="pct"/>
            <w:tcBorders>
              <w:top w:val="single" w:sz="4" w:space="0" w:color="auto"/>
              <w:left w:val="single" w:sz="4" w:space="0" w:color="auto"/>
              <w:bottom w:val="single" w:sz="4" w:space="0" w:color="auto"/>
              <w:right w:val="single" w:sz="4" w:space="0" w:color="auto"/>
            </w:tcBorders>
            <w:shd w:val="clear" w:color="auto" w:fill="FFFFCC"/>
            <w:hideMark/>
          </w:tcPr>
          <w:p w14:paraId="110D1D9D" w14:textId="77777777" w:rsidR="00F35149" w:rsidRPr="00707EE2" w:rsidRDefault="00F35149" w:rsidP="00F35149">
            <w:pPr>
              <w:spacing w:after="0" w:line="276" w:lineRule="auto"/>
              <w:jc w:val="center"/>
              <w:rPr>
                <w:rFonts w:ascii="Times New Roman" w:eastAsia="Times New Roman" w:hAnsi="Times New Roman" w:cs="Times New Roman"/>
                <w:b/>
                <w:bCs/>
                <w:lang w:eastAsia="bg-BG"/>
              </w:rPr>
            </w:pPr>
            <w:r w:rsidRPr="00707EE2">
              <w:rPr>
                <w:rFonts w:ascii="Times New Roman" w:eastAsia="Times New Roman" w:hAnsi="Times New Roman" w:cs="Times New Roman"/>
                <w:b/>
                <w:bCs/>
                <w:lang w:eastAsia="bg-BG"/>
              </w:rPr>
              <w:t>вечер</w:t>
            </w:r>
          </w:p>
        </w:tc>
        <w:tc>
          <w:tcPr>
            <w:tcW w:w="558" w:type="pct"/>
            <w:tcBorders>
              <w:top w:val="single" w:sz="4" w:space="0" w:color="auto"/>
              <w:left w:val="single" w:sz="4" w:space="0" w:color="auto"/>
              <w:bottom w:val="single" w:sz="4" w:space="0" w:color="auto"/>
              <w:right w:val="single" w:sz="4" w:space="0" w:color="auto"/>
            </w:tcBorders>
            <w:shd w:val="clear" w:color="auto" w:fill="FFFFCC"/>
            <w:hideMark/>
          </w:tcPr>
          <w:p w14:paraId="3F35D3EC" w14:textId="77777777" w:rsidR="00F35149" w:rsidRPr="00707EE2" w:rsidRDefault="00F35149" w:rsidP="00F35149">
            <w:pPr>
              <w:spacing w:after="0" w:line="276" w:lineRule="auto"/>
              <w:jc w:val="center"/>
              <w:rPr>
                <w:rFonts w:ascii="Times New Roman" w:eastAsia="Times New Roman" w:hAnsi="Times New Roman" w:cs="Times New Roman"/>
                <w:b/>
                <w:bCs/>
                <w:lang w:eastAsia="bg-BG"/>
              </w:rPr>
            </w:pPr>
            <w:r w:rsidRPr="00707EE2">
              <w:rPr>
                <w:rFonts w:ascii="Times New Roman" w:eastAsia="Times New Roman" w:hAnsi="Times New Roman" w:cs="Times New Roman"/>
                <w:b/>
                <w:bCs/>
                <w:lang w:eastAsia="bg-BG"/>
              </w:rPr>
              <w:t>нощ</w:t>
            </w:r>
          </w:p>
        </w:tc>
      </w:tr>
      <w:tr w:rsidR="00F35149" w:rsidRPr="00707EE2" w14:paraId="37035BC2" w14:textId="77777777" w:rsidTr="00F35149">
        <w:trPr>
          <w:jc w:val="center"/>
        </w:trPr>
        <w:tc>
          <w:tcPr>
            <w:tcW w:w="3280" w:type="pct"/>
            <w:tcBorders>
              <w:top w:val="single" w:sz="4" w:space="0" w:color="auto"/>
              <w:left w:val="single" w:sz="4" w:space="0" w:color="auto"/>
              <w:bottom w:val="single" w:sz="4" w:space="0" w:color="auto"/>
              <w:right w:val="single" w:sz="4" w:space="0" w:color="auto"/>
            </w:tcBorders>
            <w:hideMark/>
          </w:tcPr>
          <w:p w14:paraId="6C5C5BC8" w14:textId="77777777" w:rsidR="00F35149" w:rsidRPr="00707EE2" w:rsidRDefault="00F35149" w:rsidP="00F35149">
            <w:pPr>
              <w:spacing w:line="276" w:lineRule="auto"/>
              <w:contextualSpacing/>
              <w:jc w:val="both"/>
              <w:rPr>
                <w:rFonts w:ascii="Times New Roman" w:eastAsia="Calibri" w:hAnsi="Times New Roman" w:cs="Times New Roman"/>
              </w:rPr>
            </w:pPr>
            <w:r w:rsidRPr="00707EE2">
              <w:rPr>
                <w:rFonts w:ascii="Times New Roman" w:eastAsia="Calibri" w:hAnsi="Times New Roman" w:cs="Times New Roman"/>
              </w:rPr>
              <w:t>Жилищни зони и територии</w:t>
            </w:r>
          </w:p>
        </w:tc>
        <w:tc>
          <w:tcPr>
            <w:tcW w:w="480" w:type="pct"/>
            <w:tcBorders>
              <w:top w:val="single" w:sz="4" w:space="0" w:color="auto"/>
              <w:left w:val="single" w:sz="4" w:space="0" w:color="auto"/>
              <w:bottom w:val="single" w:sz="4" w:space="0" w:color="auto"/>
              <w:right w:val="single" w:sz="4" w:space="0" w:color="auto"/>
            </w:tcBorders>
            <w:hideMark/>
          </w:tcPr>
          <w:p w14:paraId="2E3A0191" w14:textId="77777777" w:rsidR="00F35149" w:rsidRPr="00707EE2" w:rsidRDefault="00F35149" w:rsidP="00F35149">
            <w:pPr>
              <w:spacing w:after="0" w:line="276" w:lineRule="auto"/>
              <w:jc w:val="center"/>
              <w:rPr>
                <w:rFonts w:ascii="Times New Roman" w:eastAsia="Times New Roman" w:hAnsi="Times New Roman" w:cs="Times New Roman"/>
                <w:lang w:eastAsia="bg-BG"/>
              </w:rPr>
            </w:pPr>
            <w:r w:rsidRPr="00707EE2">
              <w:rPr>
                <w:rFonts w:ascii="Times New Roman" w:eastAsia="Times New Roman" w:hAnsi="Times New Roman" w:cs="Times New Roman"/>
                <w:lang w:eastAsia="bg-BG"/>
              </w:rPr>
              <w:t>55</w:t>
            </w:r>
          </w:p>
        </w:tc>
        <w:tc>
          <w:tcPr>
            <w:tcW w:w="682" w:type="pct"/>
            <w:tcBorders>
              <w:top w:val="single" w:sz="4" w:space="0" w:color="auto"/>
              <w:left w:val="single" w:sz="4" w:space="0" w:color="auto"/>
              <w:bottom w:val="single" w:sz="4" w:space="0" w:color="auto"/>
              <w:right w:val="single" w:sz="4" w:space="0" w:color="auto"/>
            </w:tcBorders>
            <w:hideMark/>
          </w:tcPr>
          <w:p w14:paraId="025ADF89" w14:textId="77777777" w:rsidR="00F35149" w:rsidRPr="00707EE2" w:rsidRDefault="00F35149" w:rsidP="00F35149">
            <w:pPr>
              <w:spacing w:after="0" w:line="276" w:lineRule="auto"/>
              <w:jc w:val="center"/>
              <w:rPr>
                <w:rFonts w:ascii="Times New Roman" w:eastAsia="Times New Roman" w:hAnsi="Times New Roman" w:cs="Times New Roman"/>
                <w:lang w:eastAsia="bg-BG"/>
              </w:rPr>
            </w:pPr>
            <w:r w:rsidRPr="00707EE2">
              <w:rPr>
                <w:rFonts w:ascii="Times New Roman" w:eastAsia="Times New Roman" w:hAnsi="Times New Roman" w:cs="Times New Roman"/>
                <w:lang w:eastAsia="bg-BG"/>
              </w:rPr>
              <w:t>50</w:t>
            </w:r>
          </w:p>
        </w:tc>
        <w:tc>
          <w:tcPr>
            <w:tcW w:w="558" w:type="pct"/>
            <w:tcBorders>
              <w:top w:val="single" w:sz="4" w:space="0" w:color="auto"/>
              <w:left w:val="single" w:sz="4" w:space="0" w:color="auto"/>
              <w:bottom w:val="single" w:sz="4" w:space="0" w:color="auto"/>
              <w:right w:val="single" w:sz="4" w:space="0" w:color="auto"/>
            </w:tcBorders>
            <w:hideMark/>
          </w:tcPr>
          <w:p w14:paraId="733E45A9" w14:textId="77777777" w:rsidR="00F35149" w:rsidRPr="00707EE2" w:rsidRDefault="00F35149" w:rsidP="00F35149">
            <w:pPr>
              <w:spacing w:after="0" w:line="276" w:lineRule="auto"/>
              <w:jc w:val="center"/>
              <w:rPr>
                <w:rFonts w:ascii="Times New Roman" w:eastAsia="Times New Roman" w:hAnsi="Times New Roman" w:cs="Times New Roman"/>
                <w:lang w:eastAsia="bg-BG"/>
              </w:rPr>
            </w:pPr>
            <w:r w:rsidRPr="00707EE2">
              <w:rPr>
                <w:rFonts w:ascii="Times New Roman" w:eastAsia="Times New Roman" w:hAnsi="Times New Roman" w:cs="Times New Roman"/>
                <w:lang w:eastAsia="bg-BG"/>
              </w:rPr>
              <w:t>45</w:t>
            </w:r>
          </w:p>
        </w:tc>
      </w:tr>
      <w:tr w:rsidR="00F35149" w:rsidRPr="00707EE2" w14:paraId="161DE1F9" w14:textId="77777777" w:rsidTr="00F35149">
        <w:trPr>
          <w:jc w:val="center"/>
        </w:trPr>
        <w:tc>
          <w:tcPr>
            <w:tcW w:w="3280" w:type="pct"/>
            <w:tcBorders>
              <w:top w:val="single" w:sz="4" w:space="0" w:color="auto"/>
              <w:left w:val="single" w:sz="4" w:space="0" w:color="auto"/>
              <w:bottom w:val="single" w:sz="4" w:space="0" w:color="auto"/>
              <w:right w:val="single" w:sz="4" w:space="0" w:color="auto"/>
            </w:tcBorders>
            <w:hideMark/>
          </w:tcPr>
          <w:p w14:paraId="16E3F985" w14:textId="77777777" w:rsidR="00F35149" w:rsidRPr="00707EE2" w:rsidRDefault="00F35149" w:rsidP="00F35149">
            <w:pPr>
              <w:spacing w:line="276" w:lineRule="auto"/>
              <w:contextualSpacing/>
              <w:jc w:val="both"/>
              <w:rPr>
                <w:rFonts w:ascii="Times New Roman" w:eastAsia="Calibri" w:hAnsi="Times New Roman" w:cs="Times New Roman"/>
              </w:rPr>
            </w:pPr>
            <w:r w:rsidRPr="00707EE2">
              <w:rPr>
                <w:rFonts w:ascii="Times New Roman" w:eastAsia="Calibri" w:hAnsi="Times New Roman" w:cs="Times New Roman"/>
              </w:rPr>
              <w:t>Централни градски части</w:t>
            </w:r>
          </w:p>
        </w:tc>
        <w:tc>
          <w:tcPr>
            <w:tcW w:w="480" w:type="pct"/>
            <w:tcBorders>
              <w:top w:val="single" w:sz="4" w:space="0" w:color="auto"/>
              <w:left w:val="single" w:sz="4" w:space="0" w:color="auto"/>
              <w:bottom w:val="single" w:sz="4" w:space="0" w:color="auto"/>
              <w:right w:val="single" w:sz="4" w:space="0" w:color="auto"/>
            </w:tcBorders>
            <w:hideMark/>
          </w:tcPr>
          <w:p w14:paraId="42E82734" w14:textId="77777777" w:rsidR="00F35149" w:rsidRPr="00707EE2" w:rsidRDefault="00F35149" w:rsidP="00F35149">
            <w:pPr>
              <w:spacing w:after="0" w:line="276" w:lineRule="auto"/>
              <w:jc w:val="center"/>
              <w:rPr>
                <w:rFonts w:ascii="Times New Roman" w:eastAsia="Times New Roman" w:hAnsi="Times New Roman" w:cs="Times New Roman"/>
                <w:lang w:eastAsia="bg-BG"/>
              </w:rPr>
            </w:pPr>
            <w:r w:rsidRPr="00707EE2">
              <w:rPr>
                <w:rFonts w:ascii="Times New Roman" w:eastAsia="Times New Roman" w:hAnsi="Times New Roman" w:cs="Times New Roman"/>
                <w:lang w:eastAsia="bg-BG"/>
              </w:rPr>
              <w:t>60</w:t>
            </w:r>
          </w:p>
        </w:tc>
        <w:tc>
          <w:tcPr>
            <w:tcW w:w="682" w:type="pct"/>
            <w:tcBorders>
              <w:top w:val="single" w:sz="4" w:space="0" w:color="auto"/>
              <w:left w:val="single" w:sz="4" w:space="0" w:color="auto"/>
              <w:bottom w:val="single" w:sz="4" w:space="0" w:color="auto"/>
              <w:right w:val="single" w:sz="4" w:space="0" w:color="auto"/>
            </w:tcBorders>
            <w:hideMark/>
          </w:tcPr>
          <w:p w14:paraId="5F34BF18" w14:textId="77777777" w:rsidR="00F35149" w:rsidRPr="00707EE2" w:rsidRDefault="00F35149" w:rsidP="00F35149">
            <w:pPr>
              <w:spacing w:after="0" w:line="276" w:lineRule="auto"/>
              <w:jc w:val="center"/>
              <w:rPr>
                <w:rFonts w:ascii="Times New Roman" w:eastAsia="Times New Roman" w:hAnsi="Times New Roman" w:cs="Times New Roman"/>
                <w:lang w:eastAsia="bg-BG"/>
              </w:rPr>
            </w:pPr>
            <w:r w:rsidRPr="00707EE2">
              <w:rPr>
                <w:rFonts w:ascii="Times New Roman" w:eastAsia="Times New Roman" w:hAnsi="Times New Roman" w:cs="Times New Roman"/>
                <w:lang w:eastAsia="bg-BG"/>
              </w:rPr>
              <w:t>55</w:t>
            </w:r>
          </w:p>
        </w:tc>
        <w:tc>
          <w:tcPr>
            <w:tcW w:w="558" w:type="pct"/>
            <w:tcBorders>
              <w:top w:val="single" w:sz="4" w:space="0" w:color="auto"/>
              <w:left w:val="single" w:sz="4" w:space="0" w:color="auto"/>
              <w:bottom w:val="single" w:sz="4" w:space="0" w:color="auto"/>
              <w:right w:val="single" w:sz="4" w:space="0" w:color="auto"/>
            </w:tcBorders>
            <w:hideMark/>
          </w:tcPr>
          <w:p w14:paraId="0593E752" w14:textId="77777777" w:rsidR="00F35149" w:rsidRPr="00707EE2" w:rsidRDefault="00F35149" w:rsidP="00F35149">
            <w:pPr>
              <w:spacing w:after="0" w:line="276" w:lineRule="auto"/>
              <w:jc w:val="center"/>
              <w:rPr>
                <w:rFonts w:ascii="Times New Roman" w:eastAsia="Times New Roman" w:hAnsi="Times New Roman" w:cs="Times New Roman"/>
                <w:lang w:eastAsia="bg-BG"/>
              </w:rPr>
            </w:pPr>
            <w:r w:rsidRPr="00707EE2">
              <w:rPr>
                <w:rFonts w:ascii="Times New Roman" w:eastAsia="Times New Roman" w:hAnsi="Times New Roman" w:cs="Times New Roman"/>
                <w:lang w:eastAsia="bg-BG"/>
              </w:rPr>
              <w:t>50</w:t>
            </w:r>
          </w:p>
        </w:tc>
      </w:tr>
      <w:tr w:rsidR="00F35149" w:rsidRPr="00707EE2" w14:paraId="2E47F7D1" w14:textId="77777777" w:rsidTr="00F35149">
        <w:trPr>
          <w:jc w:val="center"/>
        </w:trPr>
        <w:tc>
          <w:tcPr>
            <w:tcW w:w="3280" w:type="pct"/>
            <w:tcBorders>
              <w:top w:val="single" w:sz="4" w:space="0" w:color="auto"/>
              <w:left w:val="single" w:sz="4" w:space="0" w:color="auto"/>
              <w:bottom w:val="single" w:sz="4" w:space="0" w:color="auto"/>
              <w:right w:val="single" w:sz="4" w:space="0" w:color="auto"/>
            </w:tcBorders>
            <w:hideMark/>
          </w:tcPr>
          <w:p w14:paraId="1372D53E" w14:textId="77777777" w:rsidR="00F35149" w:rsidRPr="00707EE2" w:rsidRDefault="00F35149" w:rsidP="00F35149">
            <w:pPr>
              <w:spacing w:line="276" w:lineRule="auto"/>
              <w:contextualSpacing/>
              <w:jc w:val="both"/>
              <w:rPr>
                <w:rFonts w:ascii="Times New Roman" w:eastAsia="Calibri" w:hAnsi="Times New Roman" w:cs="Times New Roman"/>
              </w:rPr>
            </w:pPr>
            <w:r w:rsidRPr="00707EE2">
              <w:rPr>
                <w:rFonts w:ascii="Times New Roman" w:eastAsia="Calibri" w:hAnsi="Times New Roman" w:cs="Times New Roman"/>
              </w:rPr>
              <w:t>Територии, подложени на въздействието на интензивен автомобилен трафик</w:t>
            </w:r>
          </w:p>
        </w:tc>
        <w:tc>
          <w:tcPr>
            <w:tcW w:w="480" w:type="pct"/>
            <w:tcBorders>
              <w:top w:val="single" w:sz="4" w:space="0" w:color="auto"/>
              <w:left w:val="single" w:sz="4" w:space="0" w:color="auto"/>
              <w:bottom w:val="single" w:sz="4" w:space="0" w:color="auto"/>
              <w:right w:val="single" w:sz="4" w:space="0" w:color="auto"/>
            </w:tcBorders>
            <w:hideMark/>
          </w:tcPr>
          <w:p w14:paraId="376B5F73" w14:textId="77777777" w:rsidR="00F35149" w:rsidRPr="00707EE2" w:rsidRDefault="00F35149" w:rsidP="00F35149">
            <w:pPr>
              <w:spacing w:after="0" w:line="276" w:lineRule="auto"/>
              <w:jc w:val="center"/>
              <w:rPr>
                <w:rFonts w:ascii="Times New Roman" w:eastAsia="Times New Roman" w:hAnsi="Times New Roman" w:cs="Times New Roman"/>
                <w:lang w:eastAsia="bg-BG"/>
              </w:rPr>
            </w:pPr>
            <w:r w:rsidRPr="00707EE2">
              <w:rPr>
                <w:rFonts w:ascii="Times New Roman" w:eastAsia="Times New Roman" w:hAnsi="Times New Roman" w:cs="Times New Roman"/>
                <w:lang w:eastAsia="bg-BG"/>
              </w:rPr>
              <w:t>60</w:t>
            </w:r>
          </w:p>
        </w:tc>
        <w:tc>
          <w:tcPr>
            <w:tcW w:w="682" w:type="pct"/>
            <w:tcBorders>
              <w:top w:val="single" w:sz="4" w:space="0" w:color="auto"/>
              <w:left w:val="single" w:sz="4" w:space="0" w:color="auto"/>
              <w:bottom w:val="single" w:sz="4" w:space="0" w:color="auto"/>
              <w:right w:val="single" w:sz="4" w:space="0" w:color="auto"/>
            </w:tcBorders>
            <w:hideMark/>
          </w:tcPr>
          <w:p w14:paraId="2D3993E6" w14:textId="77777777" w:rsidR="00F35149" w:rsidRPr="00707EE2" w:rsidRDefault="00F35149" w:rsidP="00F35149">
            <w:pPr>
              <w:spacing w:after="0" w:line="276" w:lineRule="auto"/>
              <w:jc w:val="center"/>
              <w:rPr>
                <w:rFonts w:ascii="Times New Roman" w:eastAsia="Times New Roman" w:hAnsi="Times New Roman" w:cs="Times New Roman"/>
                <w:lang w:eastAsia="bg-BG"/>
              </w:rPr>
            </w:pPr>
            <w:r w:rsidRPr="00707EE2">
              <w:rPr>
                <w:rFonts w:ascii="Times New Roman" w:eastAsia="Times New Roman" w:hAnsi="Times New Roman" w:cs="Times New Roman"/>
                <w:lang w:eastAsia="bg-BG"/>
              </w:rPr>
              <w:t>55</w:t>
            </w:r>
          </w:p>
        </w:tc>
        <w:tc>
          <w:tcPr>
            <w:tcW w:w="558" w:type="pct"/>
            <w:tcBorders>
              <w:top w:val="single" w:sz="4" w:space="0" w:color="auto"/>
              <w:left w:val="single" w:sz="4" w:space="0" w:color="auto"/>
              <w:bottom w:val="single" w:sz="4" w:space="0" w:color="auto"/>
              <w:right w:val="single" w:sz="4" w:space="0" w:color="auto"/>
            </w:tcBorders>
            <w:hideMark/>
          </w:tcPr>
          <w:p w14:paraId="14EB9F39" w14:textId="77777777" w:rsidR="00F35149" w:rsidRPr="00707EE2" w:rsidRDefault="00F35149" w:rsidP="00F35149">
            <w:pPr>
              <w:spacing w:after="0" w:line="276" w:lineRule="auto"/>
              <w:jc w:val="center"/>
              <w:rPr>
                <w:rFonts w:ascii="Times New Roman" w:eastAsia="Times New Roman" w:hAnsi="Times New Roman" w:cs="Times New Roman"/>
                <w:lang w:eastAsia="bg-BG"/>
              </w:rPr>
            </w:pPr>
            <w:r w:rsidRPr="00707EE2">
              <w:rPr>
                <w:rFonts w:ascii="Times New Roman" w:eastAsia="Times New Roman" w:hAnsi="Times New Roman" w:cs="Times New Roman"/>
                <w:lang w:eastAsia="bg-BG"/>
              </w:rPr>
              <w:t>50</w:t>
            </w:r>
          </w:p>
        </w:tc>
      </w:tr>
      <w:tr w:rsidR="00F35149" w:rsidRPr="00707EE2" w14:paraId="79E6E635" w14:textId="77777777" w:rsidTr="00F35149">
        <w:trPr>
          <w:jc w:val="center"/>
        </w:trPr>
        <w:tc>
          <w:tcPr>
            <w:tcW w:w="3280" w:type="pct"/>
            <w:tcBorders>
              <w:top w:val="single" w:sz="4" w:space="0" w:color="auto"/>
              <w:left w:val="single" w:sz="4" w:space="0" w:color="auto"/>
              <w:bottom w:val="single" w:sz="4" w:space="0" w:color="auto"/>
              <w:right w:val="single" w:sz="4" w:space="0" w:color="auto"/>
            </w:tcBorders>
            <w:hideMark/>
          </w:tcPr>
          <w:p w14:paraId="19FAE9EA" w14:textId="77777777" w:rsidR="00F35149" w:rsidRPr="00707EE2" w:rsidRDefault="00F35149" w:rsidP="00F35149">
            <w:pPr>
              <w:spacing w:line="276" w:lineRule="auto"/>
              <w:contextualSpacing/>
              <w:jc w:val="both"/>
              <w:rPr>
                <w:rFonts w:ascii="Times New Roman" w:eastAsia="Calibri" w:hAnsi="Times New Roman" w:cs="Times New Roman"/>
              </w:rPr>
            </w:pPr>
            <w:r w:rsidRPr="00707EE2">
              <w:rPr>
                <w:rFonts w:ascii="Times New Roman" w:eastAsia="Calibri" w:hAnsi="Times New Roman" w:cs="Times New Roman"/>
              </w:rPr>
              <w:t>Територии, подложени на въздействието на релсов железопътен и трамваен транспорт</w:t>
            </w:r>
          </w:p>
        </w:tc>
        <w:tc>
          <w:tcPr>
            <w:tcW w:w="480" w:type="pct"/>
            <w:tcBorders>
              <w:top w:val="single" w:sz="4" w:space="0" w:color="auto"/>
              <w:left w:val="single" w:sz="4" w:space="0" w:color="auto"/>
              <w:bottom w:val="single" w:sz="4" w:space="0" w:color="auto"/>
              <w:right w:val="single" w:sz="4" w:space="0" w:color="auto"/>
            </w:tcBorders>
            <w:hideMark/>
          </w:tcPr>
          <w:p w14:paraId="49EC7971" w14:textId="77777777" w:rsidR="00F35149" w:rsidRPr="00707EE2" w:rsidRDefault="00F35149" w:rsidP="00F35149">
            <w:pPr>
              <w:spacing w:after="0" w:line="276" w:lineRule="auto"/>
              <w:jc w:val="center"/>
              <w:rPr>
                <w:rFonts w:ascii="Times New Roman" w:eastAsia="Times New Roman" w:hAnsi="Times New Roman" w:cs="Times New Roman"/>
                <w:lang w:eastAsia="bg-BG"/>
              </w:rPr>
            </w:pPr>
            <w:r w:rsidRPr="00707EE2">
              <w:rPr>
                <w:rFonts w:ascii="Times New Roman" w:eastAsia="Times New Roman" w:hAnsi="Times New Roman" w:cs="Times New Roman"/>
                <w:lang w:eastAsia="bg-BG"/>
              </w:rPr>
              <w:t>65</w:t>
            </w:r>
          </w:p>
        </w:tc>
        <w:tc>
          <w:tcPr>
            <w:tcW w:w="682" w:type="pct"/>
            <w:tcBorders>
              <w:top w:val="single" w:sz="4" w:space="0" w:color="auto"/>
              <w:left w:val="single" w:sz="4" w:space="0" w:color="auto"/>
              <w:bottom w:val="single" w:sz="4" w:space="0" w:color="auto"/>
              <w:right w:val="single" w:sz="4" w:space="0" w:color="auto"/>
            </w:tcBorders>
            <w:hideMark/>
          </w:tcPr>
          <w:p w14:paraId="0FFBD02D" w14:textId="77777777" w:rsidR="00F35149" w:rsidRPr="00707EE2" w:rsidRDefault="00F35149" w:rsidP="00F35149">
            <w:pPr>
              <w:spacing w:after="0" w:line="276" w:lineRule="auto"/>
              <w:jc w:val="center"/>
              <w:rPr>
                <w:rFonts w:ascii="Times New Roman" w:eastAsia="Times New Roman" w:hAnsi="Times New Roman" w:cs="Times New Roman"/>
                <w:lang w:eastAsia="bg-BG"/>
              </w:rPr>
            </w:pPr>
            <w:r w:rsidRPr="00707EE2">
              <w:rPr>
                <w:rFonts w:ascii="Times New Roman" w:eastAsia="Times New Roman" w:hAnsi="Times New Roman" w:cs="Times New Roman"/>
                <w:lang w:eastAsia="bg-BG"/>
              </w:rPr>
              <w:t>60</w:t>
            </w:r>
          </w:p>
        </w:tc>
        <w:tc>
          <w:tcPr>
            <w:tcW w:w="558" w:type="pct"/>
            <w:tcBorders>
              <w:top w:val="single" w:sz="4" w:space="0" w:color="auto"/>
              <w:left w:val="single" w:sz="4" w:space="0" w:color="auto"/>
              <w:bottom w:val="single" w:sz="4" w:space="0" w:color="auto"/>
              <w:right w:val="single" w:sz="4" w:space="0" w:color="auto"/>
            </w:tcBorders>
            <w:hideMark/>
          </w:tcPr>
          <w:p w14:paraId="4A6E05F2" w14:textId="77777777" w:rsidR="00F35149" w:rsidRPr="00707EE2" w:rsidRDefault="00F35149" w:rsidP="00F35149">
            <w:pPr>
              <w:spacing w:after="0" w:line="276" w:lineRule="auto"/>
              <w:jc w:val="center"/>
              <w:rPr>
                <w:rFonts w:ascii="Times New Roman" w:eastAsia="Times New Roman" w:hAnsi="Times New Roman" w:cs="Times New Roman"/>
                <w:lang w:eastAsia="bg-BG"/>
              </w:rPr>
            </w:pPr>
            <w:r w:rsidRPr="00707EE2">
              <w:rPr>
                <w:rFonts w:ascii="Times New Roman" w:eastAsia="Times New Roman" w:hAnsi="Times New Roman" w:cs="Times New Roman"/>
                <w:lang w:eastAsia="bg-BG"/>
              </w:rPr>
              <w:t>55</w:t>
            </w:r>
          </w:p>
        </w:tc>
      </w:tr>
      <w:tr w:rsidR="00F35149" w:rsidRPr="00707EE2" w14:paraId="5A20EE6B" w14:textId="77777777" w:rsidTr="00F35149">
        <w:trPr>
          <w:jc w:val="center"/>
        </w:trPr>
        <w:tc>
          <w:tcPr>
            <w:tcW w:w="3280" w:type="pct"/>
            <w:tcBorders>
              <w:top w:val="single" w:sz="4" w:space="0" w:color="auto"/>
              <w:left w:val="single" w:sz="4" w:space="0" w:color="auto"/>
              <w:bottom w:val="single" w:sz="4" w:space="0" w:color="auto"/>
              <w:right w:val="single" w:sz="4" w:space="0" w:color="auto"/>
            </w:tcBorders>
            <w:hideMark/>
          </w:tcPr>
          <w:p w14:paraId="2A1A8288" w14:textId="77777777" w:rsidR="00F35149" w:rsidRPr="00707EE2" w:rsidRDefault="00F35149" w:rsidP="00F35149">
            <w:pPr>
              <w:spacing w:line="276" w:lineRule="auto"/>
              <w:contextualSpacing/>
              <w:jc w:val="both"/>
              <w:rPr>
                <w:rFonts w:ascii="Times New Roman" w:eastAsia="Calibri" w:hAnsi="Times New Roman" w:cs="Times New Roman"/>
              </w:rPr>
            </w:pPr>
            <w:r w:rsidRPr="00707EE2">
              <w:rPr>
                <w:rFonts w:ascii="Times New Roman" w:eastAsia="Calibri" w:hAnsi="Times New Roman" w:cs="Times New Roman"/>
              </w:rPr>
              <w:t>Територии, подложени на въздействието на авиационен шум</w:t>
            </w:r>
          </w:p>
        </w:tc>
        <w:tc>
          <w:tcPr>
            <w:tcW w:w="480" w:type="pct"/>
            <w:tcBorders>
              <w:top w:val="single" w:sz="4" w:space="0" w:color="auto"/>
              <w:left w:val="single" w:sz="4" w:space="0" w:color="auto"/>
              <w:bottom w:val="single" w:sz="4" w:space="0" w:color="auto"/>
              <w:right w:val="single" w:sz="4" w:space="0" w:color="auto"/>
            </w:tcBorders>
            <w:hideMark/>
          </w:tcPr>
          <w:p w14:paraId="560E57DF" w14:textId="77777777" w:rsidR="00F35149" w:rsidRPr="00707EE2" w:rsidRDefault="00F35149" w:rsidP="00F35149">
            <w:pPr>
              <w:spacing w:after="0" w:line="276" w:lineRule="auto"/>
              <w:jc w:val="center"/>
              <w:rPr>
                <w:rFonts w:ascii="Times New Roman" w:eastAsia="Times New Roman" w:hAnsi="Times New Roman" w:cs="Times New Roman"/>
                <w:lang w:eastAsia="bg-BG"/>
              </w:rPr>
            </w:pPr>
            <w:r w:rsidRPr="00707EE2">
              <w:rPr>
                <w:rFonts w:ascii="Times New Roman" w:eastAsia="Times New Roman" w:hAnsi="Times New Roman" w:cs="Times New Roman"/>
                <w:lang w:eastAsia="bg-BG"/>
              </w:rPr>
              <w:t>65</w:t>
            </w:r>
          </w:p>
        </w:tc>
        <w:tc>
          <w:tcPr>
            <w:tcW w:w="682" w:type="pct"/>
            <w:tcBorders>
              <w:top w:val="single" w:sz="4" w:space="0" w:color="auto"/>
              <w:left w:val="single" w:sz="4" w:space="0" w:color="auto"/>
              <w:bottom w:val="single" w:sz="4" w:space="0" w:color="auto"/>
              <w:right w:val="single" w:sz="4" w:space="0" w:color="auto"/>
            </w:tcBorders>
            <w:hideMark/>
          </w:tcPr>
          <w:p w14:paraId="7F4DF640" w14:textId="77777777" w:rsidR="00F35149" w:rsidRPr="00707EE2" w:rsidRDefault="00F35149" w:rsidP="00F35149">
            <w:pPr>
              <w:spacing w:after="0" w:line="276" w:lineRule="auto"/>
              <w:jc w:val="center"/>
              <w:rPr>
                <w:rFonts w:ascii="Times New Roman" w:eastAsia="Times New Roman" w:hAnsi="Times New Roman" w:cs="Times New Roman"/>
                <w:lang w:eastAsia="bg-BG"/>
              </w:rPr>
            </w:pPr>
            <w:r w:rsidRPr="00707EE2">
              <w:rPr>
                <w:rFonts w:ascii="Times New Roman" w:eastAsia="Times New Roman" w:hAnsi="Times New Roman" w:cs="Times New Roman"/>
                <w:lang w:eastAsia="bg-BG"/>
              </w:rPr>
              <w:t>65</w:t>
            </w:r>
          </w:p>
        </w:tc>
        <w:tc>
          <w:tcPr>
            <w:tcW w:w="558" w:type="pct"/>
            <w:tcBorders>
              <w:top w:val="single" w:sz="4" w:space="0" w:color="auto"/>
              <w:left w:val="single" w:sz="4" w:space="0" w:color="auto"/>
              <w:bottom w:val="single" w:sz="4" w:space="0" w:color="auto"/>
              <w:right w:val="single" w:sz="4" w:space="0" w:color="auto"/>
            </w:tcBorders>
            <w:hideMark/>
          </w:tcPr>
          <w:p w14:paraId="6CECF932" w14:textId="77777777" w:rsidR="00F35149" w:rsidRPr="00707EE2" w:rsidRDefault="00F35149" w:rsidP="00F35149">
            <w:pPr>
              <w:spacing w:after="0" w:line="276" w:lineRule="auto"/>
              <w:jc w:val="center"/>
              <w:rPr>
                <w:rFonts w:ascii="Times New Roman" w:eastAsia="Times New Roman" w:hAnsi="Times New Roman" w:cs="Times New Roman"/>
                <w:lang w:eastAsia="bg-BG"/>
              </w:rPr>
            </w:pPr>
            <w:r w:rsidRPr="00707EE2">
              <w:rPr>
                <w:rFonts w:ascii="Times New Roman" w:eastAsia="Times New Roman" w:hAnsi="Times New Roman" w:cs="Times New Roman"/>
                <w:lang w:eastAsia="bg-BG"/>
              </w:rPr>
              <w:t>55</w:t>
            </w:r>
          </w:p>
        </w:tc>
      </w:tr>
      <w:tr w:rsidR="00F35149" w:rsidRPr="00707EE2" w14:paraId="24BDE293" w14:textId="77777777" w:rsidTr="00F35149">
        <w:trPr>
          <w:jc w:val="center"/>
        </w:trPr>
        <w:tc>
          <w:tcPr>
            <w:tcW w:w="3280" w:type="pct"/>
            <w:tcBorders>
              <w:top w:val="single" w:sz="4" w:space="0" w:color="auto"/>
              <w:left w:val="single" w:sz="4" w:space="0" w:color="auto"/>
              <w:bottom w:val="single" w:sz="4" w:space="0" w:color="auto"/>
              <w:right w:val="single" w:sz="4" w:space="0" w:color="auto"/>
            </w:tcBorders>
            <w:hideMark/>
          </w:tcPr>
          <w:p w14:paraId="3C67776E" w14:textId="77777777" w:rsidR="00F35149" w:rsidRPr="00707EE2" w:rsidRDefault="00F35149" w:rsidP="00F35149">
            <w:pPr>
              <w:spacing w:line="276" w:lineRule="auto"/>
              <w:contextualSpacing/>
              <w:jc w:val="both"/>
              <w:rPr>
                <w:rFonts w:ascii="Times New Roman" w:eastAsia="Calibri" w:hAnsi="Times New Roman" w:cs="Times New Roman"/>
              </w:rPr>
            </w:pPr>
            <w:r w:rsidRPr="00707EE2">
              <w:rPr>
                <w:rFonts w:ascii="Times New Roman" w:eastAsia="Calibri" w:hAnsi="Times New Roman" w:cs="Times New Roman"/>
              </w:rPr>
              <w:t>Производствено-складови територии и зони</w:t>
            </w:r>
          </w:p>
        </w:tc>
        <w:tc>
          <w:tcPr>
            <w:tcW w:w="480" w:type="pct"/>
            <w:tcBorders>
              <w:top w:val="single" w:sz="4" w:space="0" w:color="auto"/>
              <w:left w:val="single" w:sz="4" w:space="0" w:color="auto"/>
              <w:bottom w:val="single" w:sz="4" w:space="0" w:color="auto"/>
              <w:right w:val="single" w:sz="4" w:space="0" w:color="auto"/>
            </w:tcBorders>
            <w:hideMark/>
          </w:tcPr>
          <w:p w14:paraId="685D9AC3" w14:textId="77777777" w:rsidR="00F35149" w:rsidRPr="00707EE2" w:rsidRDefault="00F35149" w:rsidP="00F35149">
            <w:pPr>
              <w:spacing w:after="0" w:line="276" w:lineRule="auto"/>
              <w:jc w:val="center"/>
              <w:rPr>
                <w:rFonts w:ascii="Times New Roman" w:eastAsia="Times New Roman" w:hAnsi="Times New Roman" w:cs="Times New Roman"/>
                <w:lang w:eastAsia="bg-BG"/>
              </w:rPr>
            </w:pPr>
            <w:r w:rsidRPr="00707EE2">
              <w:rPr>
                <w:rFonts w:ascii="Times New Roman" w:eastAsia="Times New Roman" w:hAnsi="Times New Roman" w:cs="Times New Roman"/>
                <w:lang w:eastAsia="bg-BG"/>
              </w:rPr>
              <w:t>70</w:t>
            </w:r>
          </w:p>
        </w:tc>
        <w:tc>
          <w:tcPr>
            <w:tcW w:w="682" w:type="pct"/>
            <w:tcBorders>
              <w:top w:val="single" w:sz="4" w:space="0" w:color="auto"/>
              <w:left w:val="single" w:sz="4" w:space="0" w:color="auto"/>
              <w:bottom w:val="single" w:sz="4" w:space="0" w:color="auto"/>
              <w:right w:val="single" w:sz="4" w:space="0" w:color="auto"/>
            </w:tcBorders>
            <w:hideMark/>
          </w:tcPr>
          <w:p w14:paraId="6A0728F1" w14:textId="77777777" w:rsidR="00F35149" w:rsidRPr="00707EE2" w:rsidRDefault="00F35149" w:rsidP="00F35149">
            <w:pPr>
              <w:spacing w:after="0" w:line="276" w:lineRule="auto"/>
              <w:jc w:val="center"/>
              <w:rPr>
                <w:rFonts w:ascii="Times New Roman" w:eastAsia="Times New Roman" w:hAnsi="Times New Roman" w:cs="Times New Roman"/>
                <w:lang w:eastAsia="bg-BG"/>
              </w:rPr>
            </w:pPr>
            <w:r w:rsidRPr="00707EE2">
              <w:rPr>
                <w:rFonts w:ascii="Times New Roman" w:eastAsia="Times New Roman" w:hAnsi="Times New Roman" w:cs="Times New Roman"/>
                <w:lang w:eastAsia="bg-BG"/>
              </w:rPr>
              <w:t>70</w:t>
            </w:r>
          </w:p>
        </w:tc>
        <w:tc>
          <w:tcPr>
            <w:tcW w:w="558" w:type="pct"/>
            <w:tcBorders>
              <w:top w:val="single" w:sz="4" w:space="0" w:color="auto"/>
              <w:left w:val="single" w:sz="4" w:space="0" w:color="auto"/>
              <w:bottom w:val="single" w:sz="4" w:space="0" w:color="auto"/>
              <w:right w:val="single" w:sz="4" w:space="0" w:color="auto"/>
            </w:tcBorders>
            <w:hideMark/>
          </w:tcPr>
          <w:p w14:paraId="2FBA9A4A" w14:textId="77777777" w:rsidR="00F35149" w:rsidRPr="00707EE2" w:rsidRDefault="00F35149" w:rsidP="00F35149">
            <w:pPr>
              <w:spacing w:after="0" w:line="276" w:lineRule="auto"/>
              <w:jc w:val="center"/>
              <w:rPr>
                <w:rFonts w:ascii="Times New Roman" w:eastAsia="Times New Roman" w:hAnsi="Times New Roman" w:cs="Times New Roman"/>
                <w:lang w:eastAsia="bg-BG"/>
              </w:rPr>
            </w:pPr>
            <w:r w:rsidRPr="00707EE2">
              <w:rPr>
                <w:rFonts w:ascii="Times New Roman" w:eastAsia="Times New Roman" w:hAnsi="Times New Roman" w:cs="Times New Roman"/>
                <w:lang w:eastAsia="bg-BG"/>
              </w:rPr>
              <w:t>70</w:t>
            </w:r>
          </w:p>
        </w:tc>
      </w:tr>
      <w:tr w:rsidR="00F35149" w:rsidRPr="00707EE2" w14:paraId="55983089" w14:textId="77777777" w:rsidTr="00F35149">
        <w:trPr>
          <w:jc w:val="center"/>
        </w:trPr>
        <w:tc>
          <w:tcPr>
            <w:tcW w:w="3280" w:type="pct"/>
            <w:tcBorders>
              <w:top w:val="single" w:sz="4" w:space="0" w:color="auto"/>
              <w:left w:val="single" w:sz="4" w:space="0" w:color="auto"/>
              <w:bottom w:val="single" w:sz="4" w:space="0" w:color="auto"/>
              <w:right w:val="single" w:sz="4" w:space="0" w:color="auto"/>
            </w:tcBorders>
            <w:hideMark/>
          </w:tcPr>
          <w:p w14:paraId="23A9E524" w14:textId="77777777" w:rsidR="00F35149" w:rsidRPr="00707EE2" w:rsidRDefault="00F35149" w:rsidP="00F35149">
            <w:pPr>
              <w:spacing w:line="276" w:lineRule="auto"/>
              <w:contextualSpacing/>
              <w:jc w:val="both"/>
              <w:rPr>
                <w:rFonts w:ascii="Times New Roman" w:eastAsia="Calibri" w:hAnsi="Times New Roman" w:cs="Times New Roman"/>
              </w:rPr>
            </w:pPr>
            <w:r w:rsidRPr="00707EE2">
              <w:rPr>
                <w:rFonts w:ascii="Times New Roman" w:eastAsia="Calibri" w:hAnsi="Times New Roman" w:cs="Times New Roman"/>
              </w:rPr>
              <w:t>Зони за обществен и индивидуален отдих</w:t>
            </w:r>
          </w:p>
        </w:tc>
        <w:tc>
          <w:tcPr>
            <w:tcW w:w="480" w:type="pct"/>
            <w:tcBorders>
              <w:top w:val="single" w:sz="4" w:space="0" w:color="auto"/>
              <w:left w:val="single" w:sz="4" w:space="0" w:color="auto"/>
              <w:bottom w:val="single" w:sz="4" w:space="0" w:color="auto"/>
              <w:right w:val="single" w:sz="4" w:space="0" w:color="auto"/>
            </w:tcBorders>
            <w:hideMark/>
          </w:tcPr>
          <w:p w14:paraId="47C85159" w14:textId="77777777" w:rsidR="00F35149" w:rsidRPr="00707EE2" w:rsidRDefault="00F35149" w:rsidP="00F35149">
            <w:pPr>
              <w:spacing w:after="0" w:line="276" w:lineRule="auto"/>
              <w:jc w:val="center"/>
              <w:rPr>
                <w:rFonts w:ascii="Times New Roman" w:eastAsia="Times New Roman" w:hAnsi="Times New Roman" w:cs="Times New Roman"/>
                <w:lang w:eastAsia="bg-BG"/>
              </w:rPr>
            </w:pPr>
            <w:r w:rsidRPr="00707EE2">
              <w:rPr>
                <w:rFonts w:ascii="Times New Roman" w:eastAsia="Times New Roman" w:hAnsi="Times New Roman" w:cs="Times New Roman"/>
                <w:lang w:eastAsia="bg-BG"/>
              </w:rPr>
              <w:t>45</w:t>
            </w:r>
          </w:p>
        </w:tc>
        <w:tc>
          <w:tcPr>
            <w:tcW w:w="682" w:type="pct"/>
            <w:tcBorders>
              <w:top w:val="single" w:sz="4" w:space="0" w:color="auto"/>
              <w:left w:val="single" w:sz="4" w:space="0" w:color="auto"/>
              <w:bottom w:val="single" w:sz="4" w:space="0" w:color="auto"/>
              <w:right w:val="single" w:sz="4" w:space="0" w:color="auto"/>
            </w:tcBorders>
            <w:hideMark/>
          </w:tcPr>
          <w:p w14:paraId="6AE590CE" w14:textId="77777777" w:rsidR="00F35149" w:rsidRPr="00707EE2" w:rsidRDefault="00F35149" w:rsidP="00F35149">
            <w:pPr>
              <w:spacing w:after="0" w:line="276" w:lineRule="auto"/>
              <w:jc w:val="center"/>
              <w:rPr>
                <w:rFonts w:ascii="Times New Roman" w:eastAsia="Times New Roman" w:hAnsi="Times New Roman" w:cs="Times New Roman"/>
                <w:lang w:eastAsia="bg-BG"/>
              </w:rPr>
            </w:pPr>
            <w:r w:rsidRPr="00707EE2">
              <w:rPr>
                <w:rFonts w:ascii="Times New Roman" w:eastAsia="Times New Roman" w:hAnsi="Times New Roman" w:cs="Times New Roman"/>
                <w:lang w:eastAsia="bg-BG"/>
              </w:rPr>
              <w:t>40</w:t>
            </w:r>
          </w:p>
        </w:tc>
        <w:tc>
          <w:tcPr>
            <w:tcW w:w="558" w:type="pct"/>
            <w:tcBorders>
              <w:top w:val="single" w:sz="4" w:space="0" w:color="auto"/>
              <w:left w:val="single" w:sz="4" w:space="0" w:color="auto"/>
              <w:bottom w:val="single" w:sz="4" w:space="0" w:color="auto"/>
              <w:right w:val="single" w:sz="4" w:space="0" w:color="auto"/>
            </w:tcBorders>
            <w:hideMark/>
          </w:tcPr>
          <w:p w14:paraId="03F12800" w14:textId="77777777" w:rsidR="00F35149" w:rsidRPr="00707EE2" w:rsidRDefault="00F35149" w:rsidP="00F35149">
            <w:pPr>
              <w:spacing w:after="0" w:line="276" w:lineRule="auto"/>
              <w:jc w:val="center"/>
              <w:rPr>
                <w:rFonts w:ascii="Times New Roman" w:eastAsia="Times New Roman" w:hAnsi="Times New Roman" w:cs="Times New Roman"/>
                <w:lang w:eastAsia="bg-BG"/>
              </w:rPr>
            </w:pPr>
            <w:r w:rsidRPr="00707EE2">
              <w:rPr>
                <w:rFonts w:ascii="Times New Roman" w:eastAsia="Times New Roman" w:hAnsi="Times New Roman" w:cs="Times New Roman"/>
                <w:lang w:eastAsia="bg-BG"/>
              </w:rPr>
              <w:t>35</w:t>
            </w:r>
          </w:p>
        </w:tc>
      </w:tr>
      <w:tr w:rsidR="00F35149" w:rsidRPr="00707EE2" w14:paraId="0392749D" w14:textId="77777777" w:rsidTr="00F35149">
        <w:trPr>
          <w:jc w:val="center"/>
        </w:trPr>
        <w:tc>
          <w:tcPr>
            <w:tcW w:w="3280" w:type="pct"/>
            <w:tcBorders>
              <w:top w:val="single" w:sz="4" w:space="0" w:color="auto"/>
              <w:left w:val="single" w:sz="4" w:space="0" w:color="auto"/>
              <w:bottom w:val="single" w:sz="4" w:space="0" w:color="auto"/>
              <w:right w:val="single" w:sz="4" w:space="0" w:color="auto"/>
            </w:tcBorders>
            <w:hideMark/>
          </w:tcPr>
          <w:p w14:paraId="4A8ADBE0" w14:textId="77777777" w:rsidR="00F35149" w:rsidRPr="00707EE2" w:rsidRDefault="00F35149" w:rsidP="00F35149">
            <w:pPr>
              <w:spacing w:line="276" w:lineRule="auto"/>
              <w:contextualSpacing/>
              <w:jc w:val="both"/>
              <w:rPr>
                <w:rFonts w:ascii="Times New Roman" w:eastAsia="Calibri" w:hAnsi="Times New Roman" w:cs="Times New Roman"/>
              </w:rPr>
            </w:pPr>
            <w:r w:rsidRPr="00707EE2">
              <w:rPr>
                <w:rFonts w:ascii="Times New Roman" w:eastAsia="Calibri" w:hAnsi="Times New Roman" w:cs="Times New Roman"/>
              </w:rPr>
              <w:t>Зони за лечебни заведения и санаториуми</w:t>
            </w:r>
          </w:p>
        </w:tc>
        <w:tc>
          <w:tcPr>
            <w:tcW w:w="480" w:type="pct"/>
            <w:tcBorders>
              <w:top w:val="single" w:sz="4" w:space="0" w:color="auto"/>
              <w:left w:val="single" w:sz="4" w:space="0" w:color="auto"/>
              <w:bottom w:val="single" w:sz="4" w:space="0" w:color="auto"/>
              <w:right w:val="single" w:sz="4" w:space="0" w:color="auto"/>
            </w:tcBorders>
            <w:hideMark/>
          </w:tcPr>
          <w:p w14:paraId="4C21EDA0" w14:textId="77777777" w:rsidR="00F35149" w:rsidRPr="00707EE2" w:rsidRDefault="00F35149" w:rsidP="00F35149">
            <w:pPr>
              <w:spacing w:after="0" w:line="276" w:lineRule="auto"/>
              <w:jc w:val="center"/>
              <w:rPr>
                <w:rFonts w:ascii="Times New Roman" w:eastAsia="Times New Roman" w:hAnsi="Times New Roman" w:cs="Times New Roman"/>
                <w:lang w:eastAsia="bg-BG"/>
              </w:rPr>
            </w:pPr>
            <w:r w:rsidRPr="00707EE2">
              <w:rPr>
                <w:rFonts w:ascii="Times New Roman" w:eastAsia="Times New Roman" w:hAnsi="Times New Roman" w:cs="Times New Roman"/>
                <w:lang w:eastAsia="bg-BG"/>
              </w:rPr>
              <w:t>45</w:t>
            </w:r>
          </w:p>
        </w:tc>
        <w:tc>
          <w:tcPr>
            <w:tcW w:w="682" w:type="pct"/>
            <w:tcBorders>
              <w:top w:val="single" w:sz="4" w:space="0" w:color="auto"/>
              <w:left w:val="single" w:sz="4" w:space="0" w:color="auto"/>
              <w:bottom w:val="single" w:sz="4" w:space="0" w:color="auto"/>
              <w:right w:val="single" w:sz="4" w:space="0" w:color="auto"/>
            </w:tcBorders>
            <w:hideMark/>
          </w:tcPr>
          <w:p w14:paraId="4CA5F761" w14:textId="77777777" w:rsidR="00F35149" w:rsidRPr="00707EE2" w:rsidRDefault="00F35149" w:rsidP="00F35149">
            <w:pPr>
              <w:spacing w:after="0" w:line="276" w:lineRule="auto"/>
              <w:jc w:val="center"/>
              <w:rPr>
                <w:rFonts w:ascii="Times New Roman" w:eastAsia="Times New Roman" w:hAnsi="Times New Roman" w:cs="Times New Roman"/>
                <w:lang w:eastAsia="bg-BG"/>
              </w:rPr>
            </w:pPr>
            <w:r w:rsidRPr="00707EE2">
              <w:rPr>
                <w:rFonts w:ascii="Times New Roman" w:eastAsia="Times New Roman" w:hAnsi="Times New Roman" w:cs="Times New Roman"/>
                <w:lang w:eastAsia="bg-BG"/>
              </w:rPr>
              <w:t>35</w:t>
            </w:r>
          </w:p>
        </w:tc>
        <w:tc>
          <w:tcPr>
            <w:tcW w:w="558" w:type="pct"/>
            <w:tcBorders>
              <w:top w:val="single" w:sz="4" w:space="0" w:color="auto"/>
              <w:left w:val="single" w:sz="4" w:space="0" w:color="auto"/>
              <w:bottom w:val="single" w:sz="4" w:space="0" w:color="auto"/>
              <w:right w:val="single" w:sz="4" w:space="0" w:color="auto"/>
            </w:tcBorders>
            <w:hideMark/>
          </w:tcPr>
          <w:p w14:paraId="16101F6E" w14:textId="77777777" w:rsidR="00F35149" w:rsidRPr="00707EE2" w:rsidRDefault="00F35149" w:rsidP="00F35149">
            <w:pPr>
              <w:spacing w:after="0" w:line="276" w:lineRule="auto"/>
              <w:jc w:val="center"/>
              <w:rPr>
                <w:rFonts w:ascii="Times New Roman" w:eastAsia="Times New Roman" w:hAnsi="Times New Roman" w:cs="Times New Roman"/>
                <w:lang w:eastAsia="bg-BG"/>
              </w:rPr>
            </w:pPr>
            <w:r w:rsidRPr="00707EE2">
              <w:rPr>
                <w:rFonts w:ascii="Times New Roman" w:eastAsia="Times New Roman" w:hAnsi="Times New Roman" w:cs="Times New Roman"/>
                <w:lang w:eastAsia="bg-BG"/>
              </w:rPr>
              <w:t>35</w:t>
            </w:r>
          </w:p>
        </w:tc>
      </w:tr>
      <w:tr w:rsidR="00F35149" w:rsidRPr="00707EE2" w14:paraId="23AFBAFB" w14:textId="77777777" w:rsidTr="00F35149">
        <w:trPr>
          <w:jc w:val="center"/>
        </w:trPr>
        <w:tc>
          <w:tcPr>
            <w:tcW w:w="3280" w:type="pct"/>
            <w:tcBorders>
              <w:top w:val="single" w:sz="4" w:space="0" w:color="auto"/>
              <w:left w:val="single" w:sz="4" w:space="0" w:color="auto"/>
              <w:bottom w:val="single" w:sz="4" w:space="0" w:color="auto"/>
              <w:right w:val="single" w:sz="4" w:space="0" w:color="auto"/>
            </w:tcBorders>
            <w:hideMark/>
          </w:tcPr>
          <w:p w14:paraId="2490609C" w14:textId="77777777" w:rsidR="00F35149" w:rsidRPr="00707EE2" w:rsidRDefault="00F35149" w:rsidP="00F35149">
            <w:pPr>
              <w:spacing w:line="276" w:lineRule="auto"/>
              <w:contextualSpacing/>
              <w:jc w:val="both"/>
              <w:rPr>
                <w:rFonts w:ascii="Times New Roman" w:eastAsia="Calibri" w:hAnsi="Times New Roman" w:cs="Times New Roman"/>
              </w:rPr>
            </w:pPr>
            <w:r w:rsidRPr="00707EE2">
              <w:rPr>
                <w:rFonts w:ascii="Times New Roman" w:eastAsia="Calibri" w:hAnsi="Times New Roman" w:cs="Times New Roman"/>
              </w:rPr>
              <w:t>Зони за научноизследователска и учебна дейност</w:t>
            </w:r>
          </w:p>
        </w:tc>
        <w:tc>
          <w:tcPr>
            <w:tcW w:w="480" w:type="pct"/>
            <w:tcBorders>
              <w:top w:val="single" w:sz="4" w:space="0" w:color="auto"/>
              <w:left w:val="single" w:sz="4" w:space="0" w:color="auto"/>
              <w:bottom w:val="single" w:sz="4" w:space="0" w:color="auto"/>
              <w:right w:val="single" w:sz="4" w:space="0" w:color="auto"/>
            </w:tcBorders>
            <w:hideMark/>
          </w:tcPr>
          <w:p w14:paraId="51D715A4" w14:textId="77777777" w:rsidR="00F35149" w:rsidRPr="00707EE2" w:rsidRDefault="00F35149" w:rsidP="00F35149">
            <w:pPr>
              <w:spacing w:after="0" w:line="276" w:lineRule="auto"/>
              <w:jc w:val="center"/>
              <w:rPr>
                <w:rFonts w:ascii="Times New Roman" w:eastAsia="Times New Roman" w:hAnsi="Times New Roman" w:cs="Times New Roman"/>
                <w:lang w:eastAsia="bg-BG"/>
              </w:rPr>
            </w:pPr>
            <w:r w:rsidRPr="00707EE2">
              <w:rPr>
                <w:rFonts w:ascii="Times New Roman" w:eastAsia="Times New Roman" w:hAnsi="Times New Roman" w:cs="Times New Roman"/>
                <w:lang w:eastAsia="bg-BG"/>
              </w:rPr>
              <w:t>45</w:t>
            </w:r>
          </w:p>
        </w:tc>
        <w:tc>
          <w:tcPr>
            <w:tcW w:w="682" w:type="pct"/>
            <w:tcBorders>
              <w:top w:val="single" w:sz="4" w:space="0" w:color="auto"/>
              <w:left w:val="single" w:sz="4" w:space="0" w:color="auto"/>
              <w:bottom w:val="single" w:sz="4" w:space="0" w:color="auto"/>
              <w:right w:val="single" w:sz="4" w:space="0" w:color="auto"/>
            </w:tcBorders>
            <w:hideMark/>
          </w:tcPr>
          <w:p w14:paraId="43660DAB" w14:textId="77777777" w:rsidR="00F35149" w:rsidRPr="00707EE2" w:rsidRDefault="00F35149" w:rsidP="00F35149">
            <w:pPr>
              <w:spacing w:after="0" w:line="276" w:lineRule="auto"/>
              <w:jc w:val="center"/>
              <w:rPr>
                <w:rFonts w:ascii="Times New Roman" w:eastAsia="Times New Roman" w:hAnsi="Times New Roman" w:cs="Times New Roman"/>
                <w:lang w:eastAsia="bg-BG"/>
              </w:rPr>
            </w:pPr>
            <w:r w:rsidRPr="00707EE2">
              <w:rPr>
                <w:rFonts w:ascii="Times New Roman" w:eastAsia="Times New Roman" w:hAnsi="Times New Roman" w:cs="Times New Roman"/>
                <w:lang w:eastAsia="bg-BG"/>
              </w:rPr>
              <w:t>40</w:t>
            </w:r>
          </w:p>
        </w:tc>
        <w:tc>
          <w:tcPr>
            <w:tcW w:w="558" w:type="pct"/>
            <w:tcBorders>
              <w:top w:val="single" w:sz="4" w:space="0" w:color="auto"/>
              <w:left w:val="single" w:sz="4" w:space="0" w:color="auto"/>
              <w:bottom w:val="single" w:sz="4" w:space="0" w:color="auto"/>
              <w:right w:val="single" w:sz="4" w:space="0" w:color="auto"/>
            </w:tcBorders>
            <w:hideMark/>
          </w:tcPr>
          <w:p w14:paraId="3D2731D6" w14:textId="77777777" w:rsidR="00F35149" w:rsidRPr="00707EE2" w:rsidRDefault="00F35149" w:rsidP="00F35149">
            <w:pPr>
              <w:spacing w:after="0" w:line="276" w:lineRule="auto"/>
              <w:jc w:val="center"/>
              <w:rPr>
                <w:rFonts w:ascii="Times New Roman" w:eastAsia="Times New Roman" w:hAnsi="Times New Roman" w:cs="Times New Roman"/>
                <w:lang w:eastAsia="bg-BG"/>
              </w:rPr>
            </w:pPr>
            <w:r w:rsidRPr="00707EE2">
              <w:rPr>
                <w:rFonts w:ascii="Times New Roman" w:eastAsia="Times New Roman" w:hAnsi="Times New Roman" w:cs="Times New Roman"/>
                <w:lang w:eastAsia="bg-BG"/>
              </w:rPr>
              <w:t>35</w:t>
            </w:r>
          </w:p>
        </w:tc>
      </w:tr>
      <w:tr w:rsidR="00F35149" w:rsidRPr="00707EE2" w14:paraId="49A59FF4" w14:textId="77777777" w:rsidTr="00F35149">
        <w:trPr>
          <w:jc w:val="center"/>
        </w:trPr>
        <w:tc>
          <w:tcPr>
            <w:tcW w:w="3280" w:type="pct"/>
            <w:tcBorders>
              <w:top w:val="single" w:sz="4" w:space="0" w:color="auto"/>
              <w:left w:val="single" w:sz="4" w:space="0" w:color="auto"/>
              <w:bottom w:val="single" w:sz="4" w:space="0" w:color="auto"/>
              <w:right w:val="single" w:sz="4" w:space="0" w:color="auto"/>
            </w:tcBorders>
            <w:hideMark/>
          </w:tcPr>
          <w:p w14:paraId="27A4F9AA" w14:textId="77777777" w:rsidR="00F35149" w:rsidRPr="00707EE2" w:rsidRDefault="00F35149" w:rsidP="00F35149">
            <w:pPr>
              <w:spacing w:line="276" w:lineRule="auto"/>
              <w:contextualSpacing/>
              <w:jc w:val="both"/>
              <w:rPr>
                <w:rFonts w:ascii="Times New Roman" w:eastAsia="Calibri" w:hAnsi="Times New Roman" w:cs="Times New Roman"/>
              </w:rPr>
            </w:pPr>
            <w:r w:rsidRPr="00707EE2">
              <w:rPr>
                <w:rFonts w:ascii="Times New Roman" w:eastAsia="Calibri" w:hAnsi="Times New Roman" w:cs="Times New Roman"/>
              </w:rPr>
              <w:t>Тихи зони извън агломерациите</w:t>
            </w:r>
          </w:p>
        </w:tc>
        <w:tc>
          <w:tcPr>
            <w:tcW w:w="480" w:type="pct"/>
            <w:tcBorders>
              <w:top w:val="single" w:sz="4" w:space="0" w:color="auto"/>
              <w:left w:val="single" w:sz="4" w:space="0" w:color="auto"/>
              <w:bottom w:val="single" w:sz="4" w:space="0" w:color="auto"/>
              <w:right w:val="single" w:sz="4" w:space="0" w:color="auto"/>
            </w:tcBorders>
            <w:hideMark/>
          </w:tcPr>
          <w:p w14:paraId="7F0AB75C" w14:textId="77777777" w:rsidR="00F35149" w:rsidRPr="00707EE2" w:rsidRDefault="00F35149" w:rsidP="00F35149">
            <w:pPr>
              <w:spacing w:after="0" w:line="276" w:lineRule="auto"/>
              <w:jc w:val="center"/>
              <w:rPr>
                <w:rFonts w:ascii="Times New Roman" w:eastAsia="Times New Roman" w:hAnsi="Times New Roman" w:cs="Times New Roman"/>
                <w:lang w:eastAsia="bg-BG"/>
              </w:rPr>
            </w:pPr>
            <w:r w:rsidRPr="00707EE2">
              <w:rPr>
                <w:rFonts w:ascii="Times New Roman" w:eastAsia="Times New Roman" w:hAnsi="Times New Roman" w:cs="Times New Roman"/>
                <w:lang w:eastAsia="bg-BG"/>
              </w:rPr>
              <w:t>40</w:t>
            </w:r>
          </w:p>
        </w:tc>
        <w:tc>
          <w:tcPr>
            <w:tcW w:w="682" w:type="pct"/>
            <w:tcBorders>
              <w:top w:val="single" w:sz="4" w:space="0" w:color="auto"/>
              <w:left w:val="single" w:sz="4" w:space="0" w:color="auto"/>
              <w:bottom w:val="single" w:sz="4" w:space="0" w:color="auto"/>
              <w:right w:val="single" w:sz="4" w:space="0" w:color="auto"/>
            </w:tcBorders>
            <w:hideMark/>
          </w:tcPr>
          <w:p w14:paraId="592944FF" w14:textId="77777777" w:rsidR="00F35149" w:rsidRPr="00707EE2" w:rsidRDefault="00F35149" w:rsidP="00F35149">
            <w:pPr>
              <w:spacing w:after="0" w:line="276" w:lineRule="auto"/>
              <w:jc w:val="center"/>
              <w:rPr>
                <w:rFonts w:ascii="Times New Roman" w:eastAsia="Times New Roman" w:hAnsi="Times New Roman" w:cs="Times New Roman"/>
                <w:lang w:eastAsia="bg-BG"/>
              </w:rPr>
            </w:pPr>
            <w:r w:rsidRPr="00707EE2">
              <w:rPr>
                <w:rFonts w:ascii="Times New Roman" w:eastAsia="Times New Roman" w:hAnsi="Times New Roman" w:cs="Times New Roman"/>
                <w:lang w:eastAsia="bg-BG"/>
              </w:rPr>
              <w:t>35</w:t>
            </w:r>
          </w:p>
        </w:tc>
        <w:tc>
          <w:tcPr>
            <w:tcW w:w="558" w:type="pct"/>
            <w:tcBorders>
              <w:top w:val="single" w:sz="4" w:space="0" w:color="auto"/>
              <w:left w:val="single" w:sz="4" w:space="0" w:color="auto"/>
              <w:bottom w:val="single" w:sz="4" w:space="0" w:color="auto"/>
              <w:right w:val="single" w:sz="4" w:space="0" w:color="auto"/>
            </w:tcBorders>
            <w:hideMark/>
          </w:tcPr>
          <w:p w14:paraId="1F48DF27" w14:textId="77777777" w:rsidR="00F35149" w:rsidRPr="00707EE2" w:rsidRDefault="00F35149" w:rsidP="00F35149">
            <w:pPr>
              <w:spacing w:after="0" w:line="276" w:lineRule="auto"/>
              <w:jc w:val="center"/>
              <w:rPr>
                <w:rFonts w:ascii="Times New Roman" w:eastAsia="Times New Roman" w:hAnsi="Times New Roman" w:cs="Times New Roman"/>
                <w:lang w:eastAsia="bg-BG"/>
              </w:rPr>
            </w:pPr>
            <w:r w:rsidRPr="00707EE2">
              <w:rPr>
                <w:rFonts w:ascii="Times New Roman" w:eastAsia="Times New Roman" w:hAnsi="Times New Roman" w:cs="Times New Roman"/>
                <w:lang w:eastAsia="bg-BG"/>
              </w:rPr>
              <w:t>35</w:t>
            </w:r>
          </w:p>
        </w:tc>
      </w:tr>
      <w:tr w:rsidR="00F35149" w:rsidRPr="00707EE2" w14:paraId="0AC5EA2C" w14:textId="77777777" w:rsidTr="00F35149">
        <w:trPr>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71F623BC" w14:textId="77777777" w:rsidR="00F35149" w:rsidRPr="00707EE2" w:rsidRDefault="00F35149" w:rsidP="00F35149">
            <w:pPr>
              <w:spacing w:after="0" w:line="276" w:lineRule="auto"/>
              <w:jc w:val="both"/>
              <w:rPr>
                <w:rFonts w:ascii="Times New Roman" w:eastAsia="Times New Roman" w:hAnsi="Times New Roman" w:cs="Times New Roman"/>
                <w:lang w:eastAsia="bg-BG"/>
              </w:rPr>
            </w:pPr>
            <w:r w:rsidRPr="00707EE2">
              <w:rPr>
                <w:rFonts w:ascii="Times New Roman" w:eastAsia="Times New Roman" w:hAnsi="Times New Roman" w:cs="Times New Roman"/>
                <w:lang w:eastAsia="bg-BG"/>
              </w:rPr>
              <w:t>Забележка: Граничната стойност на максималното ниво на шума при прелитане на летателно средство над определена територия е 85 dB(A)</w:t>
            </w:r>
          </w:p>
        </w:tc>
      </w:tr>
    </w:tbl>
    <w:p w14:paraId="65B54BA9" w14:textId="77777777" w:rsidR="00F35149" w:rsidRPr="00707EE2" w:rsidRDefault="00F35149" w:rsidP="00F35149">
      <w:pPr>
        <w:spacing w:after="0" w:line="276" w:lineRule="auto"/>
        <w:ind w:firstLine="720"/>
        <w:jc w:val="both"/>
        <w:rPr>
          <w:rFonts w:ascii="Times New Roman" w:eastAsia="Times New Roman" w:hAnsi="Times New Roman" w:cs="Times New Roman"/>
          <w:sz w:val="24"/>
          <w:szCs w:val="24"/>
          <w:lang w:eastAsia="bg-BG"/>
        </w:rPr>
      </w:pPr>
    </w:p>
    <w:p w14:paraId="77247CA4" w14:textId="77777777" w:rsidR="00F35149" w:rsidRPr="00707EE2" w:rsidRDefault="00F35149" w:rsidP="00F35149">
      <w:pPr>
        <w:spacing w:after="0" w:line="276" w:lineRule="auto"/>
        <w:ind w:firstLine="720"/>
        <w:jc w:val="both"/>
        <w:rPr>
          <w:rFonts w:ascii="Times New Roman" w:eastAsia="Times New Roman" w:hAnsi="Times New Roman" w:cs="Times New Roman"/>
          <w:sz w:val="24"/>
          <w:szCs w:val="24"/>
          <w:lang w:eastAsia="bg-BG"/>
        </w:rPr>
      </w:pPr>
      <w:r w:rsidRPr="00707EE2">
        <w:rPr>
          <w:rFonts w:ascii="Times New Roman" w:eastAsia="Times New Roman" w:hAnsi="Times New Roman" w:cs="Times New Roman"/>
          <w:sz w:val="24"/>
          <w:szCs w:val="24"/>
          <w:lang w:eastAsia="bg-BG"/>
        </w:rPr>
        <w:t>Целта на Директива 2002/49/ЕО от 25.06.2002 г. е прилагането на общ подход от мерки и действия за избягване предотвратяване или намаляване на вредните въздействия от излагането на различните видове шум в околната среда, чрез картотекиране на шума и разработването на програми за действие на база получените резултати.</w:t>
      </w:r>
    </w:p>
    <w:p w14:paraId="4DCE8F25" w14:textId="77777777" w:rsidR="00F35149" w:rsidRPr="00707EE2" w:rsidRDefault="00F35149" w:rsidP="00F35149">
      <w:pPr>
        <w:spacing w:after="0" w:line="276" w:lineRule="auto"/>
        <w:ind w:firstLine="720"/>
        <w:jc w:val="both"/>
        <w:rPr>
          <w:rFonts w:ascii="Times New Roman" w:eastAsia="Times New Roman" w:hAnsi="Times New Roman" w:cs="Times New Roman"/>
          <w:sz w:val="24"/>
          <w:szCs w:val="24"/>
          <w:lang w:eastAsia="bg-BG"/>
        </w:rPr>
      </w:pPr>
      <w:r w:rsidRPr="00707EE2">
        <w:rPr>
          <w:rFonts w:ascii="Times New Roman" w:eastAsia="Times New Roman" w:hAnsi="Times New Roman" w:cs="Times New Roman"/>
          <w:sz w:val="24"/>
          <w:szCs w:val="24"/>
          <w:lang w:eastAsia="bg-BG"/>
        </w:rPr>
        <w:t xml:space="preserve">В изпълнение на ангажиментите на Република България по </w:t>
      </w:r>
      <w:r w:rsidRPr="00707EE2">
        <w:rPr>
          <w:rFonts w:ascii="Times New Roman" w:eastAsia="Times New Roman" w:hAnsi="Times New Roman" w:cs="Times New Roman"/>
          <w:i/>
          <w:iCs/>
          <w:sz w:val="24"/>
          <w:szCs w:val="24"/>
          <w:lang w:eastAsia="bg-BG"/>
        </w:rPr>
        <w:t>Директива 2002/49/ЕО за оценка и управление на шума в околната среда</w:t>
      </w:r>
      <w:r w:rsidRPr="00707EE2">
        <w:rPr>
          <w:rFonts w:ascii="Times New Roman" w:eastAsia="Times New Roman" w:hAnsi="Times New Roman" w:cs="Times New Roman"/>
          <w:sz w:val="24"/>
          <w:szCs w:val="24"/>
          <w:lang w:eastAsia="bg-BG"/>
        </w:rPr>
        <w:t xml:space="preserve"> към настоящия момент са разработени </w:t>
      </w:r>
      <w:bookmarkStart w:id="35" w:name="_Hlk54692237"/>
      <w:r w:rsidRPr="00707EE2">
        <w:rPr>
          <w:rFonts w:ascii="Times New Roman" w:eastAsia="Times New Roman" w:hAnsi="Times New Roman" w:cs="Times New Roman"/>
          <w:sz w:val="24"/>
          <w:szCs w:val="24"/>
          <w:lang w:eastAsia="bg-BG"/>
        </w:rPr>
        <w:t xml:space="preserve">стратегически шумови карти </w:t>
      </w:r>
      <w:bookmarkEnd w:id="35"/>
      <w:r w:rsidRPr="00707EE2">
        <w:rPr>
          <w:rFonts w:ascii="Times New Roman" w:eastAsia="Times New Roman" w:hAnsi="Times New Roman" w:cs="Times New Roman"/>
          <w:sz w:val="24"/>
          <w:szCs w:val="24"/>
          <w:lang w:eastAsia="bg-BG"/>
        </w:rPr>
        <w:t xml:space="preserve">и Планове за действие към тях. СШК, изработени в съответствие с условията на директивата, са предназначени за глобална оценка на нивата на шум в дадена територия, предизвикани от различни източници и за представяне на предходната, настоящата и очакваната шумова ситуация. В тях е отразен броя на населението, жилищата, детските, учебните, лечебните, научноизследователските заведения и обществените сгради, които са изложени на различни нива на шумово натоварване. В плановете за действие са залегнали комплекси от конкретни мерки организационни и технически за ограничаване на шумовото въздействие, които следва да се изпълняват от съответните инстанции. </w:t>
      </w:r>
    </w:p>
    <w:p w14:paraId="08566A1E" w14:textId="77777777" w:rsidR="00F35149" w:rsidRPr="00707EE2" w:rsidRDefault="00F35149" w:rsidP="00F35149">
      <w:pPr>
        <w:spacing w:after="0" w:line="276" w:lineRule="auto"/>
        <w:ind w:firstLine="720"/>
        <w:jc w:val="both"/>
        <w:rPr>
          <w:rFonts w:ascii="Times New Roman" w:eastAsia="Times New Roman" w:hAnsi="Times New Roman" w:cs="Times New Roman"/>
          <w:sz w:val="24"/>
          <w:szCs w:val="24"/>
          <w:lang w:eastAsia="bg-BG"/>
        </w:rPr>
      </w:pPr>
      <w:r w:rsidRPr="00707EE2">
        <w:rPr>
          <w:rFonts w:ascii="Times New Roman" w:eastAsia="Times New Roman" w:hAnsi="Times New Roman" w:cs="Times New Roman"/>
          <w:sz w:val="24"/>
          <w:szCs w:val="24"/>
          <w:lang w:eastAsia="bg-BG"/>
        </w:rPr>
        <w:lastRenderedPageBreak/>
        <w:t>СШК се използват като основа за определяне на приоритетните проблеми при разработването на плановете за действие за намаляване на шумовото натоварване и са източник на информация за обществеността.</w:t>
      </w:r>
    </w:p>
    <w:p w14:paraId="587B04E8" w14:textId="23C46C34" w:rsidR="00F35149" w:rsidRPr="00707EE2" w:rsidRDefault="000B0220" w:rsidP="0013220F">
      <w:pPr>
        <w:spacing w:after="0" w:line="276" w:lineRule="auto"/>
        <w:ind w:firstLine="720"/>
        <w:jc w:val="both"/>
        <w:rPr>
          <w:rFonts w:ascii="Times New Roman" w:eastAsia="Times New Roman" w:hAnsi="Times New Roman" w:cs="Times New Roman"/>
          <w:sz w:val="24"/>
          <w:szCs w:val="24"/>
          <w:lang w:eastAsia="bg-BG"/>
        </w:rPr>
      </w:pPr>
      <w:r>
        <w:rPr>
          <w:rFonts w:ascii="Times New Roman" w:eastAsia="Calibri" w:hAnsi="Times New Roman" w:cs="Times New Roman"/>
          <w:sz w:val="24"/>
          <w:szCs w:val="24"/>
        </w:rPr>
        <w:t>.</w:t>
      </w:r>
      <w:r w:rsidR="00F35149" w:rsidRPr="00707EE2">
        <w:rPr>
          <w:rFonts w:ascii="Times New Roman" w:eastAsia="Times New Roman" w:hAnsi="Times New Roman" w:cs="Times New Roman"/>
          <w:i/>
          <w:iCs/>
          <w:sz w:val="24"/>
          <w:szCs w:val="24"/>
          <w:lang w:eastAsia="bg-BG"/>
        </w:rPr>
        <w:t xml:space="preserve"> service for Europe</w:t>
      </w:r>
      <w:r w:rsidR="00F35149" w:rsidRPr="00707EE2">
        <w:rPr>
          <w:rFonts w:ascii="Times New Roman" w:eastAsia="Times New Roman" w:hAnsi="Times New Roman" w:cs="Times New Roman"/>
          <w:sz w:val="24"/>
          <w:szCs w:val="24"/>
          <w:lang w:eastAsia="bg-BG"/>
        </w:rPr>
        <w:t>), в която са включени данните от СШК, разработени от страните членки на ЕС. Анализът на данните показва, че за агломерациите в Европа (</w:t>
      </w:r>
      <w:r w:rsidR="00F35149" w:rsidRPr="00707EE2">
        <w:rPr>
          <w:rFonts w:ascii="Times New Roman" w:eastAsia="Times New Roman" w:hAnsi="Times New Roman" w:cs="Times New Roman"/>
          <w:i/>
          <w:iCs/>
          <w:sz w:val="24"/>
          <w:szCs w:val="24"/>
          <w:lang w:eastAsia="bg-BG"/>
        </w:rPr>
        <w:t>вкл. България</w:t>
      </w:r>
      <w:r w:rsidR="00F35149" w:rsidRPr="00707EE2">
        <w:rPr>
          <w:rFonts w:ascii="Times New Roman" w:eastAsia="Times New Roman" w:hAnsi="Times New Roman" w:cs="Times New Roman"/>
          <w:sz w:val="24"/>
          <w:szCs w:val="24"/>
          <w:lang w:eastAsia="bg-BG"/>
        </w:rPr>
        <w:t>) с изготвени СШК основен източник на наднормен шум е автомобилният транспорт.</w:t>
      </w:r>
    </w:p>
    <w:p w14:paraId="027819FE" w14:textId="77777777" w:rsidR="00F35149" w:rsidRPr="00707EE2" w:rsidRDefault="00F35149" w:rsidP="00F35149">
      <w:pPr>
        <w:pStyle w:val="Default"/>
        <w:spacing w:line="276" w:lineRule="auto"/>
        <w:ind w:firstLine="720"/>
        <w:jc w:val="both"/>
        <w:rPr>
          <w:color w:val="auto"/>
          <w:lang w:val="bg-BG"/>
        </w:rPr>
      </w:pPr>
      <w:r w:rsidRPr="00707EE2">
        <w:rPr>
          <w:i/>
          <w:iCs/>
          <w:color w:val="auto"/>
          <w:lang w:val="bg-BG"/>
        </w:rPr>
        <w:t>В Доклада за екологична оценка ще бъде направен подробен анализ на акустичната обстановка в страната</w:t>
      </w:r>
      <w:r w:rsidR="00707EE2" w:rsidRPr="00707EE2">
        <w:rPr>
          <w:i/>
          <w:iCs/>
          <w:color w:val="auto"/>
          <w:lang w:val="bg-BG"/>
        </w:rPr>
        <w:t>.</w:t>
      </w:r>
    </w:p>
    <w:p w14:paraId="5489D35A" w14:textId="77777777" w:rsidR="00F35149" w:rsidRPr="00707EE2" w:rsidRDefault="00F35149" w:rsidP="00F35149">
      <w:pPr>
        <w:pStyle w:val="ListParagraph"/>
        <w:spacing w:after="0" w:line="276" w:lineRule="auto"/>
        <w:ind w:left="0" w:firstLine="709"/>
        <w:jc w:val="both"/>
        <w:rPr>
          <w:rFonts w:ascii="Times New Roman" w:hAnsi="Times New Roman" w:cs="Times New Roman"/>
          <w:sz w:val="24"/>
          <w:szCs w:val="24"/>
          <w:highlight w:val="yellow"/>
        </w:rPr>
      </w:pPr>
    </w:p>
    <w:p w14:paraId="467E18BC" w14:textId="77777777" w:rsidR="007C4816" w:rsidRPr="00707EE2" w:rsidRDefault="000E0DAB" w:rsidP="004F15F5">
      <w:pPr>
        <w:pStyle w:val="Heading5"/>
        <w:numPr>
          <w:ilvl w:val="2"/>
          <w:numId w:val="8"/>
        </w:numPr>
        <w:spacing w:line="276" w:lineRule="auto"/>
        <w:ind w:left="0" w:firstLine="709"/>
        <w:jc w:val="both"/>
        <w:rPr>
          <w:rFonts w:ascii="Times New Roman" w:hAnsi="Times New Roman" w:cs="Times New Roman"/>
          <w:color w:val="auto"/>
          <w:sz w:val="24"/>
          <w:szCs w:val="24"/>
        </w:rPr>
      </w:pPr>
      <w:r w:rsidRPr="00707EE2">
        <w:rPr>
          <w:rFonts w:ascii="Times New Roman" w:hAnsi="Times New Roman" w:cs="Times New Roman"/>
          <w:b/>
          <w:i/>
          <w:color w:val="auto"/>
          <w:sz w:val="24"/>
        </w:rPr>
        <w:t>Състо</w:t>
      </w:r>
      <w:r w:rsidR="006136CF" w:rsidRPr="00707EE2">
        <w:rPr>
          <w:rFonts w:ascii="Times New Roman" w:hAnsi="Times New Roman" w:cs="Times New Roman"/>
          <w:b/>
          <w:i/>
          <w:color w:val="auto"/>
          <w:sz w:val="24"/>
        </w:rPr>
        <w:t>яние и управление на отпадъците</w:t>
      </w:r>
      <w:r w:rsidR="007C4816" w:rsidRPr="00707EE2">
        <w:rPr>
          <w:rFonts w:ascii="Times New Roman" w:hAnsi="Times New Roman" w:cs="Times New Roman"/>
          <w:b/>
          <w:i/>
          <w:color w:val="auto"/>
          <w:sz w:val="24"/>
        </w:rPr>
        <w:t xml:space="preserve"> </w:t>
      </w:r>
    </w:p>
    <w:p w14:paraId="6E87CA7F" w14:textId="77777777" w:rsidR="00D64E7D" w:rsidRPr="008E0C78" w:rsidRDefault="00D64E7D" w:rsidP="00D64E7D">
      <w:pPr>
        <w:spacing w:after="0" w:line="276" w:lineRule="auto"/>
        <w:ind w:firstLine="709"/>
        <w:contextualSpacing/>
        <w:jc w:val="both"/>
        <w:rPr>
          <w:rFonts w:ascii="Times New Roman" w:hAnsi="Times New Roman" w:cs="Times New Roman"/>
          <w:color w:val="FF0000"/>
          <w:sz w:val="24"/>
          <w:szCs w:val="24"/>
        </w:rPr>
      </w:pPr>
      <w:r w:rsidRPr="00707EE2">
        <w:rPr>
          <w:rFonts w:ascii="Times New Roman" w:hAnsi="Times New Roman" w:cs="Times New Roman"/>
          <w:sz w:val="24"/>
          <w:szCs w:val="24"/>
        </w:rPr>
        <w:t>Отпадъците се приемат като екологичен, социален и икономически проблем, а нарастващото потребление и „консуматорското“ поведение на обществото продължават да произвеждат големи количества отпадъци. Реалността е, че са необходими големи и разнородни усилия за предотвратяване на образуването им. Отпадъците представляват и загуба на материални ресурси (чрез метали и други материали, които могат да се рециклират), а в същото време имат и потенциал като енергийни източници.</w:t>
      </w:r>
      <w:r w:rsidRPr="008E0C78">
        <w:rPr>
          <w:rFonts w:ascii="Times New Roman" w:hAnsi="Times New Roman" w:cs="Times New Roman"/>
          <w:color w:val="FF0000"/>
          <w:sz w:val="24"/>
          <w:szCs w:val="24"/>
        </w:rPr>
        <w:t xml:space="preserve"> </w:t>
      </w:r>
      <w:r w:rsidRPr="00707EE2">
        <w:rPr>
          <w:rFonts w:ascii="Times New Roman" w:hAnsi="Times New Roman" w:cs="Times New Roman"/>
          <w:sz w:val="24"/>
          <w:szCs w:val="24"/>
        </w:rPr>
        <w:t>Предизвикателството пред управлението на отпадъците е голямо! Прилагането на дейностите по третиране на отпадъци като повторна употреба и рециклиране са благоприятни за околната среда, водещи до отклоняване на отпадъци от депата.</w:t>
      </w:r>
    </w:p>
    <w:p w14:paraId="6A70610C" w14:textId="215FED7E" w:rsidR="004B28F3" w:rsidRPr="004B28F3" w:rsidRDefault="00D64E7D" w:rsidP="004B28F3">
      <w:pPr>
        <w:spacing w:after="0" w:line="276" w:lineRule="auto"/>
        <w:ind w:firstLine="709"/>
        <w:contextualSpacing/>
        <w:jc w:val="both"/>
        <w:rPr>
          <w:rFonts w:ascii="Times New Roman" w:hAnsi="Times New Roman" w:cs="Times New Roman"/>
          <w:sz w:val="24"/>
          <w:szCs w:val="24"/>
        </w:rPr>
      </w:pPr>
      <w:r w:rsidRPr="00707EE2">
        <w:rPr>
          <w:rFonts w:ascii="Times New Roman" w:hAnsi="Times New Roman" w:cs="Times New Roman"/>
          <w:sz w:val="24"/>
          <w:szCs w:val="24"/>
        </w:rPr>
        <w:t xml:space="preserve">Съгласно </w:t>
      </w:r>
      <w:r w:rsidRPr="00707EE2">
        <w:rPr>
          <w:rFonts w:ascii="Times New Roman" w:hAnsi="Times New Roman" w:cs="Times New Roman"/>
          <w:i/>
          <w:iCs/>
          <w:sz w:val="24"/>
          <w:szCs w:val="24"/>
        </w:rPr>
        <w:t>Националния доклад за състоянието и опазването на околната среда в Р</w:t>
      </w:r>
      <w:r w:rsidR="00DA031D" w:rsidRPr="00707EE2">
        <w:rPr>
          <w:rFonts w:ascii="Times New Roman" w:hAnsi="Times New Roman" w:cs="Times New Roman"/>
          <w:i/>
          <w:iCs/>
          <w:sz w:val="24"/>
          <w:szCs w:val="24"/>
        </w:rPr>
        <w:t xml:space="preserve"> </w:t>
      </w:r>
      <w:r w:rsidRPr="004B28F3">
        <w:rPr>
          <w:rFonts w:ascii="Times New Roman" w:hAnsi="Times New Roman" w:cs="Times New Roman"/>
          <w:i/>
          <w:iCs/>
          <w:sz w:val="24"/>
          <w:szCs w:val="24"/>
        </w:rPr>
        <w:t>България за 20</w:t>
      </w:r>
      <w:r w:rsidR="00707EE2" w:rsidRPr="004B28F3">
        <w:rPr>
          <w:rFonts w:ascii="Times New Roman" w:hAnsi="Times New Roman" w:cs="Times New Roman"/>
          <w:i/>
          <w:iCs/>
          <w:sz w:val="24"/>
          <w:szCs w:val="24"/>
        </w:rPr>
        <w:t>2</w:t>
      </w:r>
      <w:r w:rsidR="000B0220">
        <w:rPr>
          <w:rFonts w:ascii="Times New Roman" w:hAnsi="Times New Roman" w:cs="Times New Roman"/>
          <w:i/>
          <w:iCs/>
          <w:sz w:val="24"/>
          <w:szCs w:val="24"/>
        </w:rPr>
        <w:t>4</w:t>
      </w:r>
      <w:r w:rsidRPr="004B28F3">
        <w:rPr>
          <w:rFonts w:ascii="Times New Roman" w:hAnsi="Times New Roman" w:cs="Times New Roman"/>
          <w:i/>
          <w:iCs/>
          <w:sz w:val="24"/>
          <w:szCs w:val="24"/>
        </w:rPr>
        <w:t xml:space="preserve"> г.</w:t>
      </w:r>
      <w:r w:rsidRPr="004B28F3">
        <w:rPr>
          <w:rFonts w:ascii="Times New Roman" w:hAnsi="Times New Roman" w:cs="Times New Roman"/>
          <w:sz w:val="24"/>
          <w:szCs w:val="24"/>
        </w:rPr>
        <w:t xml:space="preserve"> </w:t>
      </w:r>
      <w:r w:rsidR="004B28F3" w:rsidRPr="004B28F3">
        <w:rPr>
          <w:rFonts w:ascii="Times New Roman" w:hAnsi="Times New Roman" w:cs="Times New Roman"/>
          <w:sz w:val="24"/>
          <w:szCs w:val="24"/>
        </w:rPr>
        <w:t>се наблюдава положителна тенденция към подобряване практиките при управление на отпадъците, водещи до намаляване в количествата на образуваните отпадъци.</w:t>
      </w:r>
    </w:p>
    <w:p w14:paraId="31809FBB" w14:textId="37C210BD" w:rsidR="000B0220" w:rsidRPr="000B0220" w:rsidRDefault="000B0220" w:rsidP="000B0220">
      <w:pPr>
        <w:spacing w:after="0" w:line="276" w:lineRule="auto"/>
        <w:ind w:firstLine="709"/>
        <w:contextualSpacing/>
        <w:jc w:val="both"/>
        <w:rPr>
          <w:rFonts w:ascii="Times New Roman" w:hAnsi="Times New Roman" w:cs="Times New Roman"/>
          <w:sz w:val="24"/>
          <w:szCs w:val="24"/>
        </w:rPr>
      </w:pPr>
      <w:r w:rsidRPr="000B0220">
        <w:rPr>
          <w:rFonts w:ascii="Times New Roman" w:hAnsi="Times New Roman" w:cs="Times New Roman"/>
          <w:sz w:val="24"/>
          <w:szCs w:val="24"/>
        </w:rPr>
        <w:t>По данни на НСИ общото количество на образуваните отпадъци в Р България през 2022 г., е</w:t>
      </w:r>
      <w:r>
        <w:rPr>
          <w:rFonts w:ascii="Times New Roman" w:hAnsi="Times New Roman" w:cs="Times New Roman"/>
          <w:sz w:val="24"/>
          <w:szCs w:val="24"/>
        </w:rPr>
        <w:t xml:space="preserve"> </w:t>
      </w:r>
      <w:r w:rsidRPr="000B0220">
        <w:rPr>
          <w:rFonts w:ascii="Times New Roman" w:hAnsi="Times New Roman" w:cs="Times New Roman"/>
          <w:sz w:val="24"/>
          <w:szCs w:val="24"/>
        </w:rPr>
        <w:t>85 673 403 т. От тях значителен е делът на неопасните отпадъци, които бележат</w:t>
      </w:r>
      <w:r>
        <w:rPr>
          <w:rFonts w:ascii="Times New Roman" w:hAnsi="Times New Roman" w:cs="Times New Roman"/>
          <w:sz w:val="24"/>
          <w:szCs w:val="24"/>
        </w:rPr>
        <w:t xml:space="preserve"> </w:t>
      </w:r>
      <w:r w:rsidRPr="000B0220">
        <w:rPr>
          <w:rFonts w:ascii="Times New Roman" w:hAnsi="Times New Roman" w:cs="Times New Roman"/>
          <w:sz w:val="24"/>
          <w:szCs w:val="24"/>
        </w:rPr>
        <w:t>положителна тенденция на намаляване и от 112 824 785 т, образувани през 2018 г., достигат</w:t>
      </w:r>
      <w:r>
        <w:rPr>
          <w:rFonts w:ascii="Times New Roman" w:hAnsi="Times New Roman" w:cs="Times New Roman"/>
          <w:sz w:val="24"/>
          <w:szCs w:val="24"/>
        </w:rPr>
        <w:t xml:space="preserve"> </w:t>
      </w:r>
      <w:r w:rsidRPr="000B0220">
        <w:rPr>
          <w:rFonts w:ascii="Times New Roman" w:hAnsi="Times New Roman" w:cs="Times New Roman"/>
          <w:sz w:val="24"/>
          <w:szCs w:val="24"/>
        </w:rPr>
        <w:t>до 71 905 133 т през референтната година.</w:t>
      </w:r>
    </w:p>
    <w:p w14:paraId="7447ED63" w14:textId="7259BBF1" w:rsidR="004B28F3" w:rsidRPr="004B28F3" w:rsidRDefault="000B0220" w:rsidP="00D64E7D">
      <w:pPr>
        <w:spacing w:after="0" w:line="276" w:lineRule="auto"/>
        <w:ind w:firstLine="709"/>
        <w:contextualSpacing/>
        <w:jc w:val="both"/>
        <w:rPr>
          <w:rFonts w:ascii="Times New Roman" w:hAnsi="Times New Roman" w:cs="Times New Roman"/>
          <w:sz w:val="24"/>
          <w:szCs w:val="24"/>
        </w:rPr>
      </w:pPr>
      <w:r w:rsidRPr="000B0220">
        <w:rPr>
          <w:rFonts w:ascii="Times New Roman" w:hAnsi="Times New Roman" w:cs="Times New Roman"/>
          <w:sz w:val="24"/>
          <w:szCs w:val="24"/>
        </w:rPr>
        <w:t>Количеството на образуваните опасни отпадъци остава относително постоянно за периода</w:t>
      </w:r>
      <w:r>
        <w:rPr>
          <w:rFonts w:ascii="Times New Roman" w:hAnsi="Times New Roman" w:cs="Times New Roman"/>
          <w:sz w:val="24"/>
          <w:szCs w:val="24"/>
        </w:rPr>
        <w:t xml:space="preserve"> </w:t>
      </w:r>
      <w:r w:rsidRPr="000B0220">
        <w:rPr>
          <w:rFonts w:ascii="Times New Roman" w:hAnsi="Times New Roman" w:cs="Times New Roman"/>
          <w:sz w:val="24"/>
          <w:szCs w:val="24"/>
        </w:rPr>
        <w:t>2018-2022 г</w:t>
      </w:r>
      <w:r>
        <w:rPr>
          <w:rFonts w:ascii="Times New Roman" w:hAnsi="Times New Roman" w:cs="Times New Roman"/>
          <w:sz w:val="24"/>
          <w:szCs w:val="24"/>
        </w:rPr>
        <w:t>.</w:t>
      </w:r>
    </w:p>
    <w:p w14:paraId="4C77D832" w14:textId="2365F02F" w:rsidR="004B28F3" w:rsidRDefault="004B28F3" w:rsidP="00D64E7D">
      <w:pPr>
        <w:spacing w:after="0" w:line="276" w:lineRule="auto"/>
        <w:ind w:firstLine="709"/>
        <w:contextualSpacing/>
        <w:jc w:val="both"/>
        <w:rPr>
          <w:rFonts w:ascii="Times New Roman" w:hAnsi="Times New Roman" w:cs="Times New Roman"/>
          <w:sz w:val="24"/>
          <w:szCs w:val="24"/>
        </w:rPr>
      </w:pPr>
    </w:p>
    <w:p w14:paraId="2CADDEEA" w14:textId="77777777" w:rsidR="004B28F3" w:rsidRDefault="004B28F3" w:rsidP="00D64E7D">
      <w:pPr>
        <w:spacing w:after="0" w:line="276" w:lineRule="auto"/>
        <w:ind w:firstLine="709"/>
        <w:contextualSpacing/>
        <w:jc w:val="both"/>
        <w:rPr>
          <w:rFonts w:ascii="Times New Roman" w:hAnsi="Times New Roman" w:cs="Times New Roman"/>
          <w:sz w:val="24"/>
          <w:szCs w:val="24"/>
        </w:rPr>
      </w:pPr>
      <w:r w:rsidRPr="004A3596">
        <w:rPr>
          <w:rFonts w:ascii="Times New Roman" w:hAnsi="Times New Roman" w:cs="Times New Roman"/>
          <w:b/>
          <w:bCs/>
          <w:sz w:val="24"/>
          <w:szCs w:val="24"/>
        </w:rPr>
        <w:t>Таблица № 2.1.15-1</w:t>
      </w:r>
      <w:r w:rsidRPr="004B28F3">
        <w:rPr>
          <w:rFonts w:ascii="Times New Roman" w:hAnsi="Times New Roman" w:cs="Times New Roman"/>
          <w:sz w:val="24"/>
          <w:szCs w:val="24"/>
        </w:rPr>
        <w:t xml:space="preserve"> Образувани отпадъци, общо за страната,</w:t>
      </w:r>
      <w:r w:rsidR="003C65A3">
        <w:rPr>
          <w:rFonts w:ascii="Times New Roman" w:hAnsi="Times New Roman" w:cs="Times New Roman"/>
          <w:sz w:val="24"/>
          <w:szCs w:val="24"/>
        </w:rPr>
        <w:t xml:space="preserve"> т</w:t>
      </w:r>
    </w:p>
    <w:p w14:paraId="7D39E333" w14:textId="4CD28E1F" w:rsidR="004A3596" w:rsidRDefault="004A3596" w:rsidP="004A3596">
      <w:pPr>
        <w:spacing w:after="0" w:line="276" w:lineRule="auto"/>
        <w:contextualSpacing/>
        <w:jc w:val="both"/>
        <w:rPr>
          <w:rFonts w:ascii="Times New Roman" w:hAnsi="Times New Roman" w:cs="Times New Roman"/>
          <w:sz w:val="24"/>
          <w:szCs w:val="24"/>
        </w:rPr>
      </w:pPr>
      <w:r w:rsidRPr="004A3596">
        <w:rPr>
          <w:rFonts w:ascii="Times New Roman" w:hAnsi="Times New Roman" w:cs="Times New Roman"/>
          <w:noProof/>
          <w:sz w:val="24"/>
          <w:szCs w:val="24"/>
          <w:lang w:eastAsia="bg-BG"/>
        </w:rPr>
        <w:drawing>
          <wp:inline distT="0" distB="0" distL="0" distR="0" wp14:anchorId="44A30CE5" wp14:editId="22738C23">
            <wp:extent cx="5943600" cy="966470"/>
            <wp:effectExtent l="0" t="0" r="0" b="5080"/>
            <wp:docPr id="1459194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194911" name=""/>
                    <pic:cNvPicPr/>
                  </pic:nvPicPr>
                  <pic:blipFill>
                    <a:blip r:embed="rId24"/>
                    <a:stretch>
                      <a:fillRect/>
                    </a:stretch>
                  </pic:blipFill>
                  <pic:spPr>
                    <a:xfrm>
                      <a:off x="0" y="0"/>
                      <a:ext cx="5943600" cy="966470"/>
                    </a:xfrm>
                    <a:prstGeom prst="rect">
                      <a:avLst/>
                    </a:prstGeom>
                  </pic:spPr>
                </pic:pic>
              </a:graphicData>
            </a:graphic>
          </wp:inline>
        </w:drawing>
      </w:r>
    </w:p>
    <w:p w14:paraId="6493A7BD" w14:textId="77777777" w:rsidR="00020824" w:rsidRPr="00020824" w:rsidRDefault="00020824" w:rsidP="00020824">
      <w:pPr>
        <w:spacing w:after="0" w:line="276" w:lineRule="auto"/>
        <w:ind w:firstLine="709"/>
        <w:contextualSpacing/>
        <w:jc w:val="both"/>
        <w:rPr>
          <w:rFonts w:ascii="Times New Roman" w:hAnsi="Times New Roman" w:cs="Times New Roman"/>
          <w:sz w:val="24"/>
          <w:szCs w:val="24"/>
        </w:rPr>
      </w:pPr>
      <w:r w:rsidRPr="00020824">
        <w:rPr>
          <w:rFonts w:ascii="Times New Roman" w:hAnsi="Times New Roman" w:cs="Times New Roman"/>
          <w:sz w:val="24"/>
          <w:szCs w:val="24"/>
        </w:rPr>
        <w:t>Източник: НСИ</w:t>
      </w:r>
    </w:p>
    <w:p w14:paraId="1EB9114C" w14:textId="5DFD7118" w:rsidR="004B28F3" w:rsidRPr="004B28F3" w:rsidRDefault="00020824" w:rsidP="00020824">
      <w:pPr>
        <w:spacing w:after="0" w:line="276" w:lineRule="auto"/>
        <w:ind w:firstLine="709"/>
        <w:contextualSpacing/>
        <w:jc w:val="both"/>
        <w:rPr>
          <w:rFonts w:ascii="Times New Roman" w:hAnsi="Times New Roman" w:cs="Times New Roman"/>
          <w:sz w:val="24"/>
          <w:szCs w:val="24"/>
        </w:rPr>
      </w:pPr>
      <w:r w:rsidRPr="00020824">
        <w:rPr>
          <w:rFonts w:ascii="Times New Roman" w:hAnsi="Times New Roman" w:cs="Times New Roman"/>
          <w:sz w:val="24"/>
          <w:szCs w:val="24"/>
        </w:rPr>
        <w:t xml:space="preserve">⃰ Данни към 31.03.2024 г </w:t>
      </w:r>
    </w:p>
    <w:p w14:paraId="3CD95EAF" w14:textId="77777777" w:rsidR="003C65A3" w:rsidRDefault="003C65A3" w:rsidP="00D64E7D">
      <w:pPr>
        <w:spacing w:after="0" w:line="276" w:lineRule="auto"/>
        <w:ind w:firstLine="709"/>
        <w:contextualSpacing/>
        <w:jc w:val="both"/>
        <w:rPr>
          <w:rFonts w:ascii="Times New Roman" w:hAnsi="Times New Roman" w:cs="Times New Roman"/>
          <w:sz w:val="24"/>
          <w:szCs w:val="24"/>
        </w:rPr>
      </w:pPr>
    </w:p>
    <w:p w14:paraId="03183601" w14:textId="77777777" w:rsidR="00020824" w:rsidRDefault="00020824" w:rsidP="000B0220">
      <w:pPr>
        <w:spacing w:after="0" w:line="276" w:lineRule="auto"/>
        <w:ind w:firstLine="709"/>
        <w:contextualSpacing/>
        <w:jc w:val="both"/>
        <w:rPr>
          <w:rFonts w:ascii="Times New Roman" w:hAnsi="Times New Roman" w:cs="Times New Roman"/>
          <w:sz w:val="24"/>
          <w:szCs w:val="24"/>
        </w:rPr>
      </w:pPr>
    </w:p>
    <w:p w14:paraId="6BFA46CA" w14:textId="77777777" w:rsidR="00020824" w:rsidRDefault="00020824" w:rsidP="000B0220">
      <w:pPr>
        <w:spacing w:after="0" w:line="276" w:lineRule="auto"/>
        <w:ind w:firstLine="709"/>
        <w:contextualSpacing/>
        <w:jc w:val="both"/>
        <w:rPr>
          <w:rFonts w:ascii="Times New Roman" w:hAnsi="Times New Roman" w:cs="Times New Roman"/>
          <w:sz w:val="24"/>
          <w:szCs w:val="24"/>
        </w:rPr>
      </w:pPr>
    </w:p>
    <w:p w14:paraId="5042B758" w14:textId="52DC6422" w:rsidR="000B0220" w:rsidRDefault="000B0220" w:rsidP="000B0220">
      <w:pPr>
        <w:spacing w:after="0" w:line="276" w:lineRule="auto"/>
        <w:ind w:firstLine="709"/>
        <w:contextualSpacing/>
        <w:jc w:val="both"/>
        <w:rPr>
          <w:rFonts w:ascii="Times New Roman" w:hAnsi="Times New Roman" w:cs="Times New Roman"/>
          <w:sz w:val="24"/>
          <w:szCs w:val="24"/>
        </w:rPr>
      </w:pPr>
      <w:r w:rsidRPr="000B0220">
        <w:rPr>
          <w:rFonts w:ascii="Times New Roman" w:hAnsi="Times New Roman" w:cs="Times New Roman"/>
          <w:sz w:val="24"/>
          <w:szCs w:val="24"/>
        </w:rPr>
        <w:t>България е една от малкото европейски държави, в които общото количе</w:t>
      </w:r>
      <w:r>
        <w:rPr>
          <w:rFonts w:ascii="Times New Roman" w:hAnsi="Times New Roman" w:cs="Times New Roman"/>
          <w:sz w:val="24"/>
          <w:szCs w:val="24"/>
        </w:rPr>
        <w:t xml:space="preserve"> </w:t>
      </w:r>
      <w:r w:rsidRPr="000B0220">
        <w:rPr>
          <w:rFonts w:ascii="Times New Roman" w:hAnsi="Times New Roman" w:cs="Times New Roman"/>
          <w:sz w:val="24"/>
          <w:szCs w:val="24"/>
        </w:rPr>
        <w:t>ство наобразуваните отпадъци през 2022 г. бележи спад в сравнение с 2021 г. Същата тенденция се</w:t>
      </w:r>
      <w:r>
        <w:rPr>
          <w:rFonts w:ascii="Times New Roman" w:hAnsi="Times New Roman" w:cs="Times New Roman"/>
          <w:sz w:val="24"/>
          <w:szCs w:val="24"/>
        </w:rPr>
        <w:t xml:space="preserve"> </w:t>
      </w:r>
      <w:r w:rsidRPr="000B0220">
        <w:rPr>
          <w:rFonts w:ascii="Times New Roman" w:hAnsi="Times New Roman" w:cs="Times New Roman"/>
          <w:sz w:val="24"/>
          <w:szCs w:val="24"/>
        </w:rPr>
        <w:t>наблюдава и при образуваните неопасни отпадъци, докато опасните запазват една</w:t>
      </w:r>
      <w:r>
        <w:rPr>
          <w:rFonts w:ascii="Times New Roman" w:hAnsi="Times New Roman" w:cs="Times New Roman"/>
          <w:sz w:val="24"/>
          <w:szCs w:val="24"/>
        </w:rPr>
        <w:t xml:space="preserve"> </w:t>
      </w:r>
      <w:r w:rsidRPr="000B0220">
        <w:rPr>
          <w:rFonts w:ascii="Times New Roman" w:hAnsi="Times New Roman" w:cs="Times New Roman"/>
          <w:sz w:val="24"/>
          <w:szCs w:val="24"/>
        </w:rPr>
        <w:t>сравнително постоянна стойност през петгодишния период</w:t>
      </w:r>
      <w:r>
        <w:rPr>
          <w:rFonts w:ascii="Times New Roman" w:hAnsi="Times New Roman" w:cs="Times New Roman"/>
          <w:sz w:val="24"/>
          <w:szCs w:val="24"/>
        </w:rPr>
        <w:t>.</w:t>
      </w:r>
    </w:p>
    <w:p w14:paraId="3B7126B9" w14:textId="7EE75E58" w:rsidR="00321BD1" w:rsidRDefault="00321BD1" w:rsidP="00321BD1">
      <w:pPr>
        <w:spacing w:after="0" w:line="276" w:lineRule="auto"/>
        <w:ind w:firstLine="709"/>
        <w:contextualSpacing/>
        <w:jc w:val="both"/>
        <w:rPr>
          <w:rFonts w:ascii="Times New Roman" w:hAnsi="Times New Roman" w:cs="Times New Roman"/>
          <w:sz w:val="24"/>
          <w:szCs w:val="24"/>
        </w:rPr>
      </w:pPr>
      <w:r w:rsidRPr="00321BD1">
        <w:rPr>
          <w:rFonts w:ascii="Times New Roman" w:hAnsi="Times New Roman" w:cs="Times New Roman"/>
          <w:sz w:val="24"/>
          <w:szCs w:val="24"/>
        </w:rPr>
        <w:t>По данни на НСИ образуваните отпадъци от икономическата дейност в България през</w:t>
      </w:r>
      <w:r>
        <w:rPr>
          <w:rFonts w:ascii="Times New Roman" w:hAnsi="Times New Roman" w:cs="Times New Roman"/>
          <w:sz w:val="24"/>
          <w:szCs w:val="24"/>
        </w:rPr>
        <w:t xml:space="preserve"> </w:t>
      </w:r>
      <w:r w:rsidRPr="00321BD1">
        <w:rPr>
          <w:rFonts w:ascii="Times New Roman" w:hAnsi="Times New Roman" w:cs="Times New Roman"/>
          <w:sz w:val="24"/>
          <w:szCs w:val="24"/>
        </w:rPr>
        <w:t>2022 г. са 85 673 403 т. Най-голям е дела на отпадъците, образувани от индустрията, като водещо място заема добивната промишленост, която генерира средногодишно 63 %</w:t>
      </w:r>
      <w:r>
        <w:rPr>
          <w:rFonts w:ascii="Times New Roman" w:hAnsi="Times New Roman" w:cs="Times New Roman"/>
          <w:sz w:val="24"/>
          <w:szCs w:val="24"/>
        </w:rPr>
        <w:t xml:space="preserve"> </w:t>
      </w:r>
      <w:r w:rsidRPr="00321BD1">
        <w:rPr>
          <w:rFonts w:ascii="Times New Roman" w:hAnsi="Times New Roman" w:cs="Times New Roman"/>
          <w:sz w:val="24"/>
          <w:szCs w:val="24"/>
        </w:rPr>
        <w:t>от общо образуваните в страната отпадъци през отчетната година</w:t>
      </w:r>
      <w:r>
        <w:rPr>
          <w:rFonts w:ascii="Times New Roman" w:hAnsi="Times New Roman" w:cs="Times New Roman"/>
          <w:sz w:val="24"/>
          <w:szCs w:val="24"/>
        </w:rPr>
        <w:t>.</w:t>
      </w:r>
    </w:p>
    <w:p w14:paraId="01E28F9F" w14:textId="344957D7" w:rsidR="00321BD1" w:rsidRDefault="00321BD1" w:rsidP="00321BD1">
      <w:pPr>
        <w:spacing w:after="0"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Д</w:t>
      </w:r>
      <w:r w:rsidRPr="00321BD1">
        <w:rPr>
          <w:rFonts w:ascii="Times New Roman" w:hAnsi="Times New Roman" w:cs="Times New Roman"/>
          <w:sz w:val="24"/>
          <w:szCs w:val="24"/>
        </w:rPr>
        <w:t>ел</w:t>
      </w:r>
      <w:r>
        <w:rPr>
          <w:rFonts w:ascii="Times New Roman" w:hAnsi="Times New Roman" w:cs="Times New Roman"/>
          <w:sz w:val="24"/>
          <w:szCs w:val="24"/>
        </w:rPr>
        <w:t>ът</w:t>
      </w:r>
      <w:r w:rsidRPr="00321BD1">
        <w:rPr>
          <w:rFonts w:ascii="Times New Roman" w:hAnsi="Times New Roman" w:cs="Times New Roman"/>
          <w:sz w:val="24"/>
          <w:szCs w:val="24"/>
        </w:rPr>
        <w:t xml:space="preserve"> на предадените за оползотворяване, респективно за</w:t>
      </w:r>
      <w:r>
        <w:rPr>
          <w:rFonts w:ascii="Times New Roman" w:hAnsi="Times New Roman" w:cs="Times New Roman"/>
          <w:sz w:val="24"/>
          <w:szCs w:val="24"/>
        </w:rPr>
        <w:t xml:space="preserve"> </w:t>
      </w:r>
      <w:r w:rsidRPr="00321BD1">
        <w:rPr>
          <w:rFonts w:ascii="Times New Roman" w:hAnsi="Times New Roman" w:cs="Times New Roman"/>
          <w:sz w:val="24"/>
          <w:szCs w:val="24"/>
        </w:rPr>
        <w:t>обезвреждане отпадъци, както и тези, изнесени извън страната с цел оползотворяване и</w:t>
      </w:r>
      <w:r>
        <w:rPr>
          <w:rFonts w:ascii="Times New Roman" w:hAnsi="Times New Roman" w:cs="Times New Roman"/>
          <w:sz w:val="24"/>
          <w:szCs w:val="24"/>
        </w:rPr>
        <w:t xml:space="preserve"> </w:t>
      </w:r>
      <w:r w:rsidRPr="00321BD1">
        <w:rPr>
          <w:rFonts w:ascii="Times New Roman" w:hAnsi="Times New Roman" w:cs="Times New Roman"/>
          <w:sz w:val="24"/>
          <w:szCs w:val="24"/>
        </w:rPr>
        <w:t>илюстрира „прилагането“ на йерархията при управлението на отпадъците на национално</w:t>
      </w:r>
      <w:r>
        <w:rPr>
          <w:rFonts w:ascii="Times New Roman" w:hAnsi="Times New Roman" w:cs="Times New Roman"/>
          <w:sz w:val="24"/>
          <w:szCs w:val="24"/>
        </w:rPr>
        <w:t xml:space="preserve"> </w:t>
      </w:r>
      <w:r w:rsidRPr="00321BD1">
        <w:rPr>
          <w:rFonts w:ascii="Times New Roman" w:hAnsi="Times New Roman" w:cs="Times New Roman"/>
          <w:sz w:val="24"/>
          <w:szCs w:val="24"/>
        </w:rPr>
        <w:t>ниво</w:t>
      </w:r>
      <w:r>
        <w:rPr>
          <w:rFonts w:ascii="Times New Roman" w:hAnsi="Times New Roman" w:cs="Times New Roman"/>
          <w:sz w:val="24"/>
          <w:szCs w:val="24"/>
        </w:rPr>
        <w:t>, като данните са следните:</w:t>
      </w:r>
    </w:p>
    <w:p w14:paraId="064DF561" w14:textId="4542E478" w:rsidR="00321BD1" w:rsidRPr="00321BD1" w:rsidRDefault="00321BD1" w:rsidP="00321BD1">
      <w:pPr>
        <w:spacing w:after="0" w:line="276" w:lineRule="auto"/>
        <w:ind w:firstLine="709"/>
        <w:contextualSpacing/>
        <w:jc w:val="both"/>
        <w:rPr>
          <w:rFonts w:ascii="Times New Roman" w:hAnsi="Times New Roman" w:cs="Times New Roman"/>
          <w:sz w:val="24"/>
          <w:szCs w:val="24"/>
        </w:rPr>
      </w:pPr>
      <w:r>
        <w:t>-</w:t>
      </w:r>
      <w:r w:rsidRPr="00321BD1">
        <w:t xml:space="preserve"> </w:t>
      </w:r>
      <w:r w:rsidRPr="00321BD1">
        <w:rPr>
          <w:rFonts w:ascii="Times New Roman" w:hAnsi="Times New Roman" w:cs="Times New Roman"/>
          <w:sz w:val="24"/>
          <w:szCs w:val="24"/>
        </w:rPr>
        <w:t>32 % са предадените за оползотворяване;</w:t>
      </w:r>
    </w:p>
    <w:p w14:paraId="77CB43EE" w14:textId="4325AA23" w:rsidR="00321BD1" w:rsidRPr="00321BD1" w:rsidRDefault="00321BD1" w:rsidP="00321BD1">
      <w:pPr>
        <w:spacing w:after="0"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321BD1">
        <w:rPr>
          <w:rFonts w:ascii="Times New Roman" w:hAnsi="Times New Roman" w:cs="Times New Roman"/>
          <w:sz w:val="24"/>
          <w:szCs w:val="24"/>
        </w:rPr>
        <w:t>64 % са предадените за обезвреждане (в т.ч. депониране)</w:t>
      </w:r>
      <w:r>
        <w:rPr>
          <w:rFonts w:ascii="Times New Roman" w:hAnsi="Times New Roman" w:cs="Times New Roman"/>
          <w:sz w:val="24"/>
          <w:szCs w:val="24"/>
        </w:rPr>
        <w:t>;</w:t>
      </w:r>
    </w:p>
    <w:p w14:paraId="6BC36C7B" w14:textId="16FCD982" w:rsidR="00321BD1" w:rsidRDefault="00321BD1" w:rsidP="00321BD1">
      <w:pPr>
        <w:spacing w:after="0"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321BD1">
        <w:rPr>
          <w:rFonts w:ascii="Times New Roman" w:hAnsi="Times New Roman" w:cs="Times New Roman"/>
          <w:sz w:val="24"/>
          <w:szCs w:val="24"/>
        </w:rPr>
        <w:t>4 % изнесени извън страната</w:t>
      </w:r>
      <w:r>
        <w:rPr>
          <w:rFonts w:ascii="Times New Roman" w:hAnsi="Times New Roman" w:cs="Times New Roman"/>
          <w:sz w:val="24"/>
          <w:szCs w:val="24"/>
        </w:rPr>
        <w:t>.</w:t>
      </w:r>
    </w:p>
    <w:p w14:paraId="19CBDADC" w14:textId="41258F64" w:rsidR="00321BD1" w:rsidRDefault="001E799E" w:rsidP="001E799E">
      <w:pPr>
        <w:spacing w:after="0" w:line="276" w:lineRule="auto"/>
        <w:ind w:firstLine="709"/>
        <w:contextualSpacing/>
        <w:jc w:val="both"/>
        <w:rPr>
          <w:rFonts w:ascii="Times New Roman" w:hAnsi="Times New Roman" w:cs="Times New Roman"/>
          <w:sz w:val="24"/>
          <w:szCs w:val="24"/>
        </w:rPr>
      </w:pPr>
      <w:r w:rsidRPr="001E799E">
        <w:rPr>
          <w:rFonts w:ascii="Times New Roman" w:hAnsi="Times New Roman" w:cs="Times New Roman"/>
          <w:sz w:val="24"/>
          <w:szCs w:val="24"/>
        </w:rPr>
        <w:t>По данни на НСИ през 2022 г. се наблюдава увеличение на отпадъците предадени за</w:t>
      </w:r>
      <w:r>
        <w:rPr>
          <w:rFonts w:ascii="Times New Roman" w:hAnsi="Times New Roman" w:cs="Times New Roman"/>
          <w:sz w:val="24"/>
          <w:szCs w:val="24"/>
        </w:rPr>
        <w:t xml:space="preserve"> </w:t>
      </w:r>
      <w:r w:rsidRPr="001E799E">
        <w:rPr>
          <w:rFonts w:ascii="Times New Roman" w:hAnsi="Times New Roman" w:cs="Times New Roman"/>
          <w:sz w:val="24"/>
          <w:szCs w:val="24"/>
        </w:rPr>
        <w:t>обезвреждане , в т.ч. депониране. От общо образуваните опасни и неопасни</w:t>
      </w:r>
      <w:r>
        <w:rPr>
          <w:rFonts w:ascii="Times New Roman" w:hAnsi="Times New Roman" w:cs="Times New Roman"/>
          <w:sz w:val="24"/>
          <w:szCs w:val="24"/>
        </w:rPr>
        <w:t xml:space="preserve"> </w:t>
      </w:r>
      <w:r w:rsidRPr="001E799E">
        <w:rPr>
          <w:rFonts w:ascii="Times New Roman" w:hAnsi="Times New Roman" w:cs="Times New Roman"/>
          <w:sz w:val="24"/>
          <w:szCs w:val="24"/>
        </w:rPr>
        <w:t>отпадъци – 11 796 471 т, 3 832 107 т са предадените за оползотворяване, 7 507 308 т са</w:t>
      </w:r>
      <w:r>
        <w:rPr>
          <w:rFonts w:ascii="Times New Roman" w:hAnsi="Times New Roman" w:cs="Times New Roman"/>
          <w:sz w:val="24"/>
          <w:szCs w:val="24"/>
        </w:rPr>
        <w:t xml:space="preserve"> </w:t>
      </w:r>
      <w:r w:rsidRPr="001E799E">
        <w:rPr>
          <w:rFonts w:ascii="Times New Roman" w:hAnsi="Times New Roman" w:cs="Times New Roman"/>
          <w:sz w:val="24"/>
          <w:szCs w:val="24"/>
        </w:rPr>
        <w:t>предадените за обезвреждане и 457 056 т са изнесени извън страната, като това количество</w:t>
      </w:r>
      <w:r>
        <w:rPr>
          <w:rFonts w:ascii="Times New Roman" w:hAnsi="Times New Roman" w:cs="Times New Roman"/>
          <w:sz w:val="24"/>
          <w:szCs w:val="24"/>
        </w:rPr>
        <w:t xml:space="preserve"> </w:t>
      </w:r>
      <w:r w:rsidRPr="001E799E">
        <w:rPr>
          <w:rFonts w:ascii="Times New Roman" w:hAnsi="Times New Roman" w:cs="Times New Roman"/>
          <w:sz w:val="24"/>
          <w:szCs w:val="24"/>
        </w:rPr>
        <w:t>остава сравнително постоянно</w:t>
      </w:r>
      <w:r>
        <w:rPr>
          <w:rFonts w:ascii="Times New Roman" w:hAnsi="Times New Roman" w:cs="Times New Roman"/>
          <w:sz w:val="24"/>
          <w:szCs w:val="24"/>
        </w:rPr>
        <w:t>.</w:t>
      </w:r>
    </w:p>
    <w:p w14:paraId="2FE466D9" w14:textId="77777777" w:rsidR="00BE1D4C" w:rsidRDefault="00BE1D4C" w:rsidP="00BE1D4C">
      <w:pPr>
        <w:spacing w:after="0" w:line="276" w:lineRule="auto"/>
        <w:ind w:firstLine="709"/>
        <w:contextualSpacing/>
        <w:jc w:val="both"/>
        <w:rPr>
          <w:rFonts w:ascii="Times New Roman" w:hAnsi="Times New Roman" w:cs="Times New Roman"/>
          <w:sz w:val="24"/>
          <w:szCs w:val="24"/>
        </w:rPr>
      </w:pPr>
      <w:r w:rsidRPr="00BE1D4C">
        <w:rPr>
          <w:rFonts w:ascii="Times New Roman" w:hAnsi="Times New Roman" w:cs="Times New Roman"/>
          <w:sz w:val="24"/>
          <w:szCs w:val="24"/>
        </w:rPr>
        <w:t>По данни за 2022 г. образуваните</w:t>
      </w:r>
      <w:r>
        <w:rPr>
          <w:rFonts w:ascii="Times New Roman" w:hAnsi="Times New Roman" w:cs="Times New Roman"/>
          <w:sz w:val="24"/>
          <w:szCs w:val="24"/>
        </w:rPr>
        <w:t xml:space="preserve"> </w:t>
      </w:r>
      <w:r w:rsidRPr="00BE1D4C">
        <w:rPr>
          <w:rFonts w:ascii="Times New Roman" w:hAnsi="Times New Roman" w:cs="Times New Roman"/>
          <w:sz w:val="24"/>
          <w:szCs w:val="24"/>
        </w:rPr>
        <w:t>битови отпадъци са 3 157 хил. т, като се наблюдава намаление с над 20 % спрямо 2010 г.</w:t>
      </w:r>
    </w:p>
    <w:p w14:paraId="7C580142" w14:textId="77777777" w:rsidR="009B3670" w:rsidRDefault="00D32BCF" w:rsidP="009B3670">
      <w:pPr>
        <w:spacing w:after="0" w:line="276" w:lineRule="auto"/>
        <w:ind w:firstLine="709"/>
        <w:contextualSpacing/>
        <w:jc w:val="both"/>
        <w:rPr>
          <w:rFonts w:ascii="Times New Roman" w:hAnsi="Times New Roman" w:cs="Times New Roman"/>
          <w:sz w:val="24"/>
          <w:szCs w:val="24"/>
        </w:rPr>
      </w:pPr>
      <w:r w:rsidRPr="00D32BCF">
        <w:rPr>
          <w:rFonts w:ascii="Times New Roman" w:hAnsi="Times New Roman" w:cs="Times New Roman"/>
          <w:sz w:val="24"/>
          <w:szCs w:val="24"/>
        </w:rPr>
        <w:t>През 2022 г. количеството на образуваните битови отпадъци на човек от населението</w:t>
      </w:r>
      <w:r>
        <w:rPr>
          <w:rFonts w:ascii="Times New Roman" w:hAnsi="Times New Roman" w:cs="Times New Roman"/>
          <w:sz w:val="24"/>
          <w:szCs w:val="24"/>
        </w:rPr>
        <w:t xml:space="preserve"> </w:t>
      </w:r>
      <w:r w:rsidRPr="00D32BCF">
        <w:rPr>
          <w:rFonts w:ascii="Times New Roman" w:hAnsi="Times New Roman" w:cs="Times New Roman"/>
          <w:sz w:val="24"/>
          <w:szCs w:val="24"/>
        </w:rPr>
        <w:t>се увеличава с около 17 % в сравнение с началото на разглеждания пет годишен период.</w:t>
      </w:r>
      <w:r>
        <w:rPr>
          <w:rFonts w:ascii="Times New Roman" w:hAnsi="Times New Roman" w:cs="Times New Roman"/>
          <w:sz w:val="24"/>
          <w:szCs w:val="24"/>
        </w:rPr>
        <w:t xml:space="preserve"> </w:t>
      </w:r>
      <w:r w:rsidRPr="00D32BCF">
        <w:rPr>
          <w:rFonts w:ascii="Times New Roman" w:hAnsi="Times New Roman" w:cs="Times New Roman"/>
          <w:sz w:val="24"/>
          <w:szCs w:val="24"/>
        </w:rPr>
        <w:t>Делът на обслужваното население от системите за организирано сметосъбиране</w:t>
      </w:r>
      <w:r>
        <w:rPr>
          <w:rFonts w:ascii="Times New Roman" w:hAnsi="Times New Roman" w:cs="Times New Roman"/>
          <w:sz w:val="24"/>
          <w:szCs w:val="24"/>
        </w:rPr>
        <w:t xml:space="preserve"> </w:t>
      </w:r>
      <w:r w:rsidRPr="00D32BCF">
        <w:rPr>
          <w:rFonts w:ascii="Times New Roman" w:hAnsi="Times New Roman" w:cs="Times New Roman"/>
          <w:sz w:val="24"/>
          <w:szCs w:val="24"/>
        </w:rPr>
        <w:t>достига до 99,9 %.</w:t>
      </w:r>
    </w:p>
    <w:p w14:paraId="10E1B71A" w14:textId="77777777" w:rsidR="009B3670" w:rsidRDefault="009B3670" w:rsidP="009B3670">
      <w:pPr>
        <w:spacing w:after="0" w:line="276" w:lineRule="auto"/>
        <w:ind w:firstLine="709"/>
        <w:contextualSpacing/>
        <w:jc w:val="both"/>
        <w:rPr>
          <w:rFonts w:ascii="Times New Roman" w:hAnsi="Times New Roman" w:cs="Times New Roman"/>
          <w:sz w:val="24"/>
          <w:szCs w:val="24"/>
        </w:rPr>
      </w:pPr>
      <w:r w:rsidRPr="009B3670">
        <w:rPr>
          <w:rFonts w:ascii="Times New Roman" w:hAnsi="Times New Roman" w:cs="Times New Roman"/>
          <w:sz w:val="24"/>
          <w:szCs w:val="24"/>
        </w:rPr>
        <w:t>Към 2020 г. са изградени и функционират всички депа за управление на</w:t>
      </w:r>
      <w:r>
        <w:rPr>
          <w:rFonts w:ascii="Times New Roman" w:hAnsi="Times New Roman" w:cs="Times New Roman"/>
          <w:sz w:val="24"/>
          <w:szCs w:val="24"/>
        </w:rPr>
        <w:t xml:space="preserve"> </w:t>
      </w:r>
      <w:r w:rsidRPr="009B3670">
        <w:rPr>
          <w:rFonts w:ascii="Times New Roman" w:hAnsi="Times New Roman" w:cs="Times New Roman"/>
          <w:sz w:val="24"/>
          <w:szCs w:val="24"/>
        </w:rPr>
        <w:t>отпадъците на регионален принцип (52 броя), с изключение на един регион</w:t>
      </w:r>
      <w:r>
        <w:rPr>
          <w:rFonts w:ascii="Times New Roman" w:hAnsi="Times New Roman" w:cs="Times New Roman"/>
          <w:sz w:val="24"/>
          <w:szCs w:val="24"/>
        </w:rPr>
        <w:t xml:space="preserve"> </w:t>
      </w:r>
      <w:r w:rsidRPr="009B3670">
        <w:rPr>
          <w:rFonts w:ascii="Times New Roman" w:hAnsi="Times New Roman" w:cs="Times New Roman"/>
          <w:sz w:val="24"/>
          <w:szCs w:val="24"/>
        </w:rPr>
        <w:t>(Кюстендил), в който депото е в процес на изпълнение и който е намерил</w:t>
      </w:r>
      <w:r>
        <w:rPr>
          <w:rFonts w:ascii="Times New Roman" w:hAnsi="Times New Roman" w:cs="Times New Roman"/>
          <w:sz w:val="24"/>
          <w:szCs w:val="24"/>
        </w:rPr>
        <w:t xml:space="preserve"> </w:t>
      </w:r>
      <w:r w:rsidRPr="009B3670">
        <w:rPr>
          <w:rFonts w:ascii="Times New Roman" w:hAnsi="Times New Roman" w:cs="Times New Roman"/>
          <w:sz w:val="24"/>
          <w:szCs w:val="24"/>
        </w:rPr>
        <w:t>временно решение за третиране на отпадъците в съответствие с изискванията.</w:t>
      </w:r>
      <w:r>
        <w:rPr>
          <w:rFonts w:ascii="Times New Roman" w:hAnsi="Times New Roman" w:cs="Times New Roman"/>
          <w:sz w:val="24"/>
          <w:szCs w:val="24"/>
        </w:rPr>
        <w:t xml:space="preserve"> </w:t>
      </w:r>
      <w:r w:rsidRPr="009B3670">
        <w:rPr>
          <w:rFonts w:ascii="Times New Roman" w:hAnsi="Times New Roman" w:cs="Times New Roman"/>
          <w:sz w:val="24"/>
          <w:szCs w:val="24"/>
        </w:rPr>
        <w:t>Регион Провадия е намерил решение за третиране на отпадъците в частна</w:t>
      </w:r>
      <w:r>
        <w:rPr>
          <w:rFonts w:ascii="Times New Roman" w:hAnsi="Times New Roman" w:cs="Times New Roman"/>
          <w:sz w:val="24"/>
          <w:szCs w:val="24"/>
        </w:rPr>
        <w:t xml:space="preserve"> </w:t>
      </w:r>
      <w:r w:rsidRPr="009B3670">
        <w:rPr>
          <w:rFonts w:ascii="Times New Roman" w:hAnsi="Times New Roman" w:cs="Times New Roman"/>
          <w:sz w:val="24"/>
          <w:szCs w:val="24"/>
        </w:rPr>
        <w:t>инсталация.</w:t>
      </w:r>
    </w:p>
    <w:p w14:paraId="7C91F802" w14:textId="6780FD04" w:rsidR="003130EE" w:rsidRDefault="009B3670" w:rsidP="009B3670">
      <w:pPr>
        <w:spacing w:after="0" w:line="276" w:lineRule="auto"/>
        <w:ind w:firstLine="709"/>
        <w:contextualSpacing/>
        <w:jc w:val="both"/>
        <w:rPr>
          <w:rFonts w:ascii="Times New Roman" w:hAnsi="Times New Roman" w:cs="Times New Roman"/>
          <w:sz w:val="24"/>
          <w:szCs w:val="24"/>
        </w:rPr>
      </w:pPr>
      <w:r w:rsidRPr="009B3670">
        <w:rPr>
          <w:rFonts w:ascii="Times New Roman" w:hAnsi="Times New Roman" w:cs="Times New Roman"/>
          <w:sz w:val="24"/>
          <w:szCs w:val="24"/>
        </w:rPr>
        <w:t>В страната към разглеждания период са в експлоатация 22 Инсталации за</w:t>
      </w:r>
      <w:r>
        <w:rPr>
          <w:rFonts w:ascii="Times New Roman" w:hAnsi="Times New Roman" w:cs="Times New Roman"/>
          <w:sz w:val="24"/>
          <w:szCs w:val="24"/>
        </w:rPr>
        <w:t xml:space="preserve"> </w:t>
      </w:r>
      <w:r w:rsidRPr="009B3670">
        <w:rPr>
          <w:rFonts w:ascii="Times New Roman" w:hAnsi="Times New Roman" w:cs="Times New Roman"/>
          <w:sz w:val="24"/>
          <w:szCs w:val="24"/>
        </w:rPr>
        <w:t>оползотворяване на биоотпадъци, 46 са в процес на изпълнение и една в процес</w:t>
      </w:r>
      <w:r>
        <w:rPr>
          <w:rFonts w:ascii="Times New Roman" w:hAnsi="Times New Roman" w:cs="Times New Roman"/>
          <w:sz w:val="24"/>
          <w:szCs w:val="24"/>
        </w:rPr>
        <w:t xml:space="preserve"> </w:t>
      </w:r>
      <w:r w:rsidRPr="009B3670">
        <w:rPr>
          <w:rFonts w:ascii="Times New Roman" w:hAnsi="Times New Roman" w:cs="Times New Roman"/>
          <w:sz w:val="24"/>
          <w:szCs w:val="24"/>
        </w:rPr>
        <w:t>на оценка; от инсталациите за сепариране/ предварително третиране - 25 са в</w:t>
      </w:r>
      <w:r>
        <w:rPr>
          <w:rFonts w:ascii="Times New Roman" w:hAnsi="Times New Roman" w:cs="Times New Roman"/>
          <w:sz w:val="24"/>
          <w:szCs w:val="24"/>
        </w:rPr>
        <w:t xml:space="preserve"> </w:t>
      </w:r>
      <w:r w:rsidRPr="009B3670">
        <w:rPr>
          <w:rFonts w:ascii="Times New Roman" w:hAnsi="Times New Roman" w:cs="Times New Roman"/>
          <w:sz w:val="24"/>
          <w:szCs w:val="24"/>
        </w:rPr>
        <w:t>експлоатация, 21 са в процес на изпълнение, 2 са на етап работен проект, 1 е в</w:t>
      </w:r>
      <w:r>
        <w:rPr>
          <w:rFonts w:ascii="Times New Roman" w:hAnsi="Times New Roman" w:cs="Times New Roman"/>
          <w:sz w:val="24"/>
          <w:szCs w:val="24"/>
        </w:rPr>
        <w:t xml:space="preserve"> </w:t>
      </w:r>
      <w:r w:rsidRPr="009B3670">
        <w:rPr>
          <w:rFonts w:ascii="Times New Roman" w:hAnsi="Times New Roman" w:cs="Times New Roman"/>
          <w:sz w:val="24"/>
          <w:szCs w:val="24"/>
        </w:rPr>
        <w:t>процес на оценка и за 1 има инвестиционно намерение.</w:t>
      </w:r>
    </w:p>
    <w:p w14:paraId="6BFEDF69" w14:textId="77777777" w:rsidR="009B3670" w:rsidRPr="003C65A3" w:rsidRDefault="009B3670" w:rsidP="00D64E7D">
      <w:pPr>
        <w:spacing w:after="0" w:line="276" w:lineRule="auto"/>
        <w:ind w:firstLine="709"/>
        <w:contextualSpacing/>
        <w:jc w:val="both"/>
        <w:rPr>
          <w:rFonts w:ascii="Times New Roman" w:hAnsi="Times New Roman" w:cs="Times New Roman"/>
          <w:sz w:val="24"/>
          <w:szCs w:val="24"/>
        </w:rPr>
      </w:pPr>
    </w:p>
    <w:p w14:paraId="06E466A8" w14:textId="77777777" w:rsidR="00D64E7D" w:rsidRPr="003C65A3" w:rsidRDefault="00D64E7D" w:rsidP="00D64E7D">
      <w:pPr>
        <w:spacing w:after="0" w:line="276" w:lineRule="auto"/>
        <w:ind w:firstLine="720"/>
        <w:contextualSpacing/>
        <w:jc w:val="both"/>
        <w:rPr>
          <w:rFonts w:ascii="Times New Roman" w:eastAsia="Calibri" w:hAnsi="Times New Roman" w:cs="Times New Roman"/>
          <w:i/>
          <w:iCs/>
          <w:sz w:val="24"/>
          <w:szCs w:val="24"/>
        </w:rPr>
      </w:pPr>
      <w:r w:rsidRPr="003C65A3">
        <w:rPr>
          <w:rFonts w:ascii="Times New Roman" w:eastAsia="Calibri" w:hAnsi="Times New Roman" w:cs="Times New Roman"/>
          <w:i/>
          <w:iCs/>
          <w:sz w:val="24"/>
          <w:szCs w:val="24"/>
        </w:rPr>
        <w:t>В Доклада за екологична оценка ще бъде направена подробна характеристика на състоянието и управлението на отпадъците към момента на изработване на п</w:t>
      </w:r>
      <w:r w:rsidR="003C65A3" w:rsidRPr="003C65A3">
        <w:rPr>
          <w:rFonts w:ascii="Times New Roman" w:eastAsia="Calibri" w:hAnsi="Times New Roman" w:cs="Times New Roman"/>
          <w:i/>
          <w:iCs/>
          <w:sz w:val="24"/>
          <w:szCs w:val="24"/>
        </w:rPr>
        <w:t>лана</w:t>
      </w:r>
      <w:r w:rsidRPr="003C65A3">
        <w:rPr>
          <w:rFonts w:ascii="Times New Roman" w:eastAsia="Calibri" w:hAnsi="Times New Roman" w:cs="Times New Roman"/>
          <w:i/>
          <w:iCs/>
          <w:sz w:val="24"/>
          <w:szCs w:val="24"/>
        </w:rPr>
        <w:t>.</w:t>
      </w:r>
    </w:p>
    <w:p w14:paraId="0342ED50" w14:textId="77777777" w:rsidR="00705C06" w:rsidRPr="003C65A3" w:rsidRDefault="00705C06" w:rsidP="001D33CA">
      <w:pPr>
        <w:pStyle w:val="ListParagraph"/>
        <w:spacing w:after="0" w:line="276" w:lineRule="auto"/>
        <w:ind w:left="0" w:firstLine="709"/>
        <w:jc w:val="both"/>
        <w:rPr>
          <w:rFonts w:ascii="Times New Roman" w:hAnsi="Times New Roman" w:cs="Times New Roman"/>
          <w:sz w:val="24"/>
          <w:szCs w:val="24"/>
        </w:rPr>
      </w:pPr>
    </w:p>
    <w:p w14:paraId="3996C4F8" w14:textId="77777777" w:rsidR="00CF0202" w:rsidRPr="003C65A3" w:rsidRDefault="00CF0202" w:rsidP="004F15F5">
      <w:pPr>
        <w:pStyle w:val="Heading5"/>
        <w:numPr>
          <w:ilvl w:val="2"/>
          <w:numId w:val="8"/>
        </w:numPr>
        <w:spacing w:line="276" w:lineRule="auto"/>
        <w:ind w:left="0" w:firstLine="709"/>
        <w:jc w:val="both"/>
        <w:rPr>
          <w:rFonts w:ascii="Times New Roman" w:hAnsi="Times New Roman" w:cs="Times New Roman"/>
          <w:b/>
          <w:i/>
          <w:color w:val="auto"/>
          <w:sz w:val="24"/>
        </w:rPr>
      </w:pPr>
      <w:r w:rsidRPr="003C65A3">
        <w:rPr>
          <w:rFonts w:ascii="Times New Roman" w:hAnsi="Times New Roman" w:cs="Times New Roman"/>
          <w:b/>
          <w:i/>
          <w:color w:val="auto"/>
          <w:sz w:val="24"/>
        </w:rPr>
        <w:lastRenderedPageBreak/>
        <w:t>Опасни химични вещества и риск от големи аварии</w:t>
      </w:r>
      <w:r w:rsidR="007C4816" w:rsidRPr="003C65A3">
        <w:rPr>
          <w:rFonts w:ascii="Times New Roman" w:hAnsi="Times New Roman" w:cs="Times New Roman"/>
          <w:b/>
          <w:i/>
          <w:color w:val="auto"/>
          <w:sz w:val="24"/>
        </w:rPr>
        <w:t xml:space="preserve"> </w:t>
      </w:r>
    </w:p>
    <w:p w14:paraId="680F2CB2" w14:textId="77777777" w:rsidR="0058600E" w:rsidRPr="003C65A3" w:rsidRDefault="001F6776" w:rsidP="001D33CA">
      <w:pPr>
        <w:pStyle w:val="ListParagraph"/>
        <w:spacing w:after="0" w:line="276" w:lineRule="auto"/>
        <w:ind w:left="0" w:firstLine="709"/>
        <w:jc w:val="both"/>
        <w:rPr>
          <w:rFonts w:ascii="Times New Roman" w:hAnsi="Times New Roman" w:cs="Times New Roman"/>
          <w:sz w:val="24"/>
          <w:szCs w:val="24"/>
        </w:rPr>
      </w:pPr>
      <w:r w:rsidRPr="003C65A3">
        <w:rPr>
          <w:rFonts w:ascii="Times New Roman" w:hAnsi="Times New Roman" w:cs="Times New Roman"/>
          <w:sz w:val="24"/>
          <w:szCs w:val="24"/>
        </w:rPr>
        <w:t>Към момента на територията на страната има 1</w:t>
      </w:r>
      <w:r w:rsidR="003C65A3" w:rsidRPr="003C65A3">
        <w:rPr>
          <w:rFonts w:ascii="Times New Roman" w:hAnsi="Times New Roman" w:cs="Times New Roman"/>
          <w:sz w:val="24"/>
          <w:szCs w:val="24"/>
        </w:rPr>
        <w:t>3</w:t>
      </w:r>
      <w:r w:rsidRPr="003C65A3">
        <w:rPr>
          <w:rFonts w:ascii="Times New Roman" w:hAnsi="Times New Roman" w:cs="Times New Roman"/>
          <w:sz w:val="24"/>
          <w:szCs w:val="24"/>
        </w:rPr>
        <w:t xml:space="preserve">4 предприятия с нисък рисков потенциал и </w:t>
      </w:r>
      <w:r w:rsidR="003C65A3" w:rsidRPr="003C65A3">
        <w:rPr>
          <w:rFonts w:ascii="Times New Roman" w:hAnsi="Times New Roman" w:cs="Times New Roman"/>
          <w:sz w:val="24"/>
          <w:szCs w:val="24"/>
        </w:rPr>
        <w:t>96</w:t>
      </w:r>
      <w:r w:rsidRPr="003C65A3">
        <w:rPr>
          <w:rFonts w:ascii="Times New Roman" w:hAnsi="Times New Roman" w:cs="Times New Roman"/>
          <w:sz w:val="24"/>
          <w:szCs w:val="24"/>
        </w:rPr>
        <w:t xml:space="preserve"> с висок рисков потенциал</w:t>
      </w:r>
      <w:r w:rsidR="00AD1D54" w:rsidRPr="003C65A3">
        <w:rPr>
          <w:rFonts w:ascii="Times New Roman" w:hAnsi="Times New Roman" w:cs="Times New Roman"/>
          <w:sz w:val="24"/>
          <w:szCs w:val="24"/>
        </w:rPr>
        <w:t xml:space="preserve"> по смисъла на глава седма, раздел първи на ЗООС</w:t>
      </w:r>
      <w:r w:rsidRPr="003C65A3">
        <w:rPr>
          <w:rFonts w:ascii="Times New Roman" w:hAnsi="Times New Roman" w:cs="Times New Roman"/>
          <w:sz w:val="24"/>
          <w:szCs w:val="24"/>
        </w:rPr>
        <w:t>.</w:t>
      </w:r>
      <w:r w:rsidR="0058600E" w:rsidRPr="003C65A3">
        <w:rPr>
          <w:rFonts w:ascii="Times New Roman" w:hAnsi="Times New Roman" w:cs="Times New Roman"/>
          <w:sz w:val="24"/>
          <w:szCs w:val="24"/>
        </w:rPr>
        <w:t xml:space="preserve"> </w:t>
      </w:r>
    </w:p>
    <w:p w14:paraId="293287E6" w14:textId="42FF4C5A" w:rsidR="001A4537" w:rsidRPr="003C65A3" w:rsidRDefault="0058600E" w:rsidP="001D33CA">
      <w:pPr>
        <w:pStyle w:val="ListParagraph"/>
        <w:spacing w:after="0" w:line="276" w:lineRule="auto"/>
        <w:ind w:left="0" w:firstLine="709"/>
        <w:jc w:val="both"/>
        <w:rPr>
          <w:rFonts w:ascii="Times New Roman" w:hAnsi="Times New Roman" w:cs="Times New Roman"/>
          <w:sz w:val="24"/>
          <w:szCs w:val="24"/>
        </w:rPr>
      </w:pPr>
      <w:r w:rsidRPr="003C65A3">
        <w:rPr>
          <w:rFonts w:ascii="Times New Roman" w:hAnsi="Times New Roman" w:cs="Times New Roman"/>
          <w:sz w:val="24"/>
          <w:szCs w:val="24"/>
        </w:rPr>
        <w:t>Предвижданията на п</w:t>
      </w:r>
      <w:r w:rsidR="003C65A3" w:rsidRPr="003C65A3">
        <w:rPr>
          <w:rFonts w:ascii="Times New Roman" w:hAnsi="Times New Roman" w:cs="Times New Roman"/>
          <w:sz w:val="24"/>
          <w:szCs w:val="24"/>
        </w:rPr>
        <w:t>лана</w:t>
      </w:r>
      <w:r w:rsidRPr="003C65A3">
        <w:rPr>
          <w:rFonts w:ascii="Times New Roman" w:hAnsi="Times New Roman" w:cs="Times New Roman"/>
          <w:sz w:val="24"/>
          <w:szCs w:val="24"/>
        </w:rPr>
        <w:t xml:space="preserve"> не са свързани с употреба и съхранение на опасни химични вещества, съответно не биха могли да породят риск от големи аварии. </w:t>
      </w:r>
      <w:r w:rsidR="00AD1D54" w:rsidRPr="003C65A3">
        <w:rPr>
          <w:rFonts w:ascii="Times New Roman" w:hAnsi="Times New Roman" w:cs="Times New Roman"/>
          <w:sz w:val="24"/>
          <w:szCs w:val="24"/>
        </w:rPr>
        <w:t xml:space="preserve">В този смисъл </w:t>
      </w:r>
      <w:r w:rsidR="005B5EB3">
        <w:rPr>
          <w:rFonts w:ascii="Times New Roman" w:hAnsi="Times New Roman" w:cs="Times New Roman"/>
          <w:sz w:val="24"/>
          <w:szCs w:val="24"/>
        </w:rPr>
        <w:t>ИПЕК</w:t>
      </w:r>
      <w:r w:rsidR="00AD1D54" w:rsidRPr="003C65A3">
        <w:rPr>
          <w:rFonts w:ascii="Times New Roman" w:hAnsi="Times New Roman" w:cs="Times New Roman"/>
          <w:sz w:val="24"/>
          <w:szCs w:val="24"/>
        </w:rPr>
        <w:t xml:space="preserve"> не може да окаже въздействи</w:t>
      </w:r>
      <w:r w:rsidR="001A4537" w:rsidRPr="003C65A3">
        <w:rPr>
          <w:rFonts w:ascii="Times New Roman" w:hAnsi="Times New Roman" w:cs="Times New Roman"/>
          <w:sz w:val="24"/>
          <w:szCs w:val="24"/>
        </w:rPr>
        <w:t>я</w:t>
      </w:r>
      <w:r w:rsidR="00AD1D54" w:rsidRPr="003C65A3">
        <w:rPr>
          <w:rFonts w:ascii="Times New Roman" w:hAnsi="Times New Roman" w:cs="Times New Roman"/>
          <w:sz w:val="24"/>
          <w:szCs w:val="24"/>
        </w:rPr>
        <w:t>, свързан</w:t>
      </w:r>
      <w:r w:rsidR="001A4537" w:rsidRPr="003C65A3">
        <w:rPr>
          <w:rFonts w:ascii="Times New Roman" w:hAnsi="Times New Roman" w:cs="Times New Roman"/>
          <w:sz w:val="24"/>
          <w:szCs w:val="24"/>
        </w:rPr>
        <w:t>и</w:t>
      </w:r>
      <w:r w:rsidR="00AD1D54" w:rsidRPr="003C65A3">
        <w:rPr>
          <w:rFonts w:ascii="Times New Roman" w:hAnsi="Times New Roman" w:cs="Times New Roman"/>
          <w:sz w:val="24"/>
          <w:szCs w:val="24"/>
        </w:rPr>
        <w:t xml:space="preserve"> със съхранението и употребата на ОХВ</w:t>
      </w:r>
      <w:r w:rsidR="001A4537" w:rsidRPr="003C65A3">
        <w:rPr>
          <w:rFonts w:ascii="Times New Roman" w:hAnsi="Times New Roman" w:cs="Times New Roman"/>
          <w:sz w:val="24"/>
          <w:szCs w:val="24"/>
        </w:rPr>
        <w:t>С</w:t>
      </w:r>
      <w:r w:rsidR="00AD1D54" w:rsidRPr="003C65A3">
        <w:rPr>
          <w:rFonts w:ascii="Times New Roman" w:hAnsi="Times New Roman" w:cs="Times New Roman"/>
          <w:sz w:val="24"/>
          <w:szCs w:val="24"/>
        </w:rPr>
        <w:t>.</w:t>
      </w:r>
      <w:r w:rsidR="001A4537" w:rsidRPr="003C65A3">
        <w:rPr>
          <w:rFonts w:ascii="Times New Roman" w:hAnsi="Times New Roman" w:cs="Times New Roman"/>
          <w:sz w:val="24"/>
          <w:szCs w:val="24"/>
        </w:rPr>
        <w:t xml:space="preserve"> </w:t>
      </w:r>
    </w:p>
    <w:p w14:paraId="1294573A" w14:textId="72C41748" w:rsidR="0058600E" w:rsidRPr="003C65A3" w:rsidRDefault="003C65A3" w:rsidP="001D33CA">
      <w:pPr>
        <w:pStyle w:val="ListParagraph"/>
        <w:spacing w:after="0" w:line="276" w:lineRule="auto"/>
        <w:ind w:left="0" w:firstLine="709"/>
        <w:jc w:val="both"/>
        <w:rPr>
          <w:rFonts w:ascii="Times New Roman" w:hAnsi="Times New Roman" w:cs="Times New Roman"/>
          <w:sz w:val="24"/>
          <w:szCs w:val="24"/>
        </w:rPr>
      </w:pPr>
      <w:r w:rsidRPr="003C65A3">
        <w:rPr>
          <w:rFonts w:ascii="Times New Roman" w:hAnsi="Times New Roman" w:cs="Times New Roman"/>
          <w:i/>
          <w:iCs/>
          <w:sz w:val="24"/>
          <w:szCs w:val="24"/>
        </w:rPr>
        <w:t>В</w:t>
      </w:r>
      <w:r w:rsidR="00AD1D54" w:rsidRPr="003C65A3">
        <w:rPr>
          <w:rFonts w:ascii="Times New Roman" w:hAnsi="Times New Roman" w:cs="Times New Roman"/>
          <w:i/>
          <w:iCs/>
          <w:sz w:val="24"/>
          <w:szCs w:val="24"/>
        </w:rPr>
        <w:t xml:space="preserve"> доклада </w:t>
      </w:r>
      <w:r w:rsidR="001A4537" w:rsidRPr="003C65A3">
        <w:rPr>
          <w:rFonts w:ascii="Times New Roman" w:hAnsi="Times New Roman" w:cs="Times New Roman"/>
          <w:i/>
          <w:iCs/>
          <w:sz w:val="24"/>
          <w:szCs w:val="24"/>
        </w:rPr>
        <w:t>з</w:t>
      </w:r>
      <w:r w:rsidR="00AD1D54" w:rsidRPr="003C65A3">
        <w:rPr>
          <w:rFonts w:ascii="Times New Roman" w:hAnsi="Times New Roman" w:cs="Times New Roman"/>
          <w:i/>
          <w:iCs/>
          <w:sz w:val="24"/>
          <w:szCs w:val="24"/>
        </w:rPr>
        <w:t>а екологична оценка ще бъде направен анализ за наличието на такива предприятия в обхвата на</w:t>
      </w:r>
      <w:r w:rsidR="001A4537" w:rsidRPr="003C65A3">
        <w:rPr>
          <w:rFonts w:ascii="Times New Roman" w:hAnsi="Times New Roman" w:cs="Times New Roman"/>
          <w:i/>
          <w:iCs/>
          <w:sz w:val="24"/>
          <w:szCs w:val="24"/>
        </w:rPr>
        <w:t xml:space="preserve"> </w:t>
      </w:r>
      <w:r w:rsidRPr="003C65A3">
        <w:rPr>
          <w:rFonts w:ascii="Times New Roman" w:hAnsi="Times New Roman" w:cs="Times New Roman"/>
          <w:i/>
          <w:iCs/>
          <w:sz w:val="24"/>
          <w:szCs w:val="24"/>
        </w:rPr>
        <w:t>плана</w:t>
      </w:r>
      <w:r w:rsidR="00112A16">
        <w:rPr>
          <w:rFonts w:ascii="Times New Roman" w:hAnsi="Times New Roman" w:cs="Times New Roman"/>
          <w:i/>
          <w:iCs/>
          <w:sz w:val="24"/>
          <w:szCs w:val="24"/>
        </w:rPr>
        <w:t xml:space="preserve"> и</w:t>
      </w:r>
      <w:r w:rsidR="00EA4CA4" w:rsidRPr="003C65A3">
        <w:rPr>
          <w:rFonts w:ascii="Times New Roman" w:hAnsi="Times New Roman" w:cs="Times New Roman"/>
          <w:i/>
          <w:iCs/>
          <w:sz w:val="24"/>
          <w:szCs w:val="24"/>
        </w:rPr>
        <w:t xml:space="preserve"> за </w:t>
      </w:r>
      <w:r w:rsidR="00112A16">
        <w:rPr>
          <w:rFonts w:ascii="Times New Roman" w:hAnsi="Times New Roman" w:cs="Times New Roman"/>
          <w:i/>
          <w:iCs/>
          <w:sz w:val="24"/>
          <w:szCs w:val="24"/>
        </w:rPr>
        <w:t xml:space="preserve">евентуалната възможност от </w:t>
      </w:r>
      <w:r w:rsidR="00EA4CA4" w:rsidRPr="003C65A3">
        <w:rPr>
          <w:rFonts w:ascii="Times New Roman" w:hAnsi="Times New Roman" w:cs="Times New Roman"/>
          <w:i/>
          <w:iCs/>
          <w:sz w:val="24"/>
          <w:szCs w:val="24"/>
        </w:rPr>
        <w:t>поява на потенциални въздействия</w:t>
      </w:r>
      <w:r w:rsidR="00AD1D54" w:rsidRPr="003C65A3">
        <w:rPr>
          <w:rFonts w:ascii="Times New Roman" w:hAnsi="Times New Roman" w:cs="Times New Roman"/>
          <w:i/>
          <w:iCs/>
          <w:sz w:val="24"/>
          <w:szCs w:val="24"/>
        </w:rPr>
        <w:t>.</w:t>
      </w:r>
    </w:p>
    <w:p w14:paraId="5FE30949" w14:textId="77777777" w:rsidR="007C4816" w:rsidRPr="003C65A3" w:rsidRDefault="007C4816" w:rsidP="0058600E">
      <w:pPr>
        <w:pStyle w:val="ListParagraph"/>
        <w:spacing w:after="0" w:line="276" w:lineRule="auto"/>
        <w:ind w:left="0" w:firstLine="709"/>
        <w:jc w:val="both"/>
        <w:rPr>
          <w:rFonts w:ascii="Times New Roman" w:hAnsi="Times New Roman" w:cs="Times New Roman"/>
          <w:sz w:val="24"/>
          <w:szCs w:val="24"/>
        </w:rPr>
      </w:pPr>
    </w:p>
    <w:p w14:paraId="23E81EB9" w14:textId="77777777" w:rsidR="000E0DAB" w:rsidRPr="003C65A3" w:rsidRDefault="000E0DAB" w:rsidP="004F15F5">
      <w:pPr>
        <w:pStyle w:val="Heading5"/>
        <w:numPr>
          <w:ilvl w:val="2"/>
          <w:numId w:val="8"/>
        </w:numPr>
        <w:spacing w:line="276" w:lineRule="auto"/>
        <w:ind w:left="0" w:firstLine="709"/>
        <w:jc w:val="both"/>
        <w:rPr>
          <w:rFonts w:ascii="Times New Roman" w:hAnsi="Times New Roman" w:cs="Times New Roman"/>
          <w:b/>
          <w:i/>
          <w:color w:val="auto"/>
          <w:sz w:val="24"/>
        </w:rPr>
      </w:pPr>
      <w:r w:rsidRPr="003C65A3">
        <w:rPr>
          <w:rFonts w:ascii="Times New Roman" w:hAnsi="Times New Roman" w:cs="Times New Roman"/>
          <w:b/>
          <w:i/>
          <w:color w:val="auto"/>
          <w:sz w:val="24"/>
        </w:rPr>
        <w:t>З</w:t>
      </w:r>
      <w:r w:rsidR="00BB2369" w:rsidRPr="003C65A3">
        <w:rPr>
          <w:rFonts w:ascii="Times New Roman" w:hAnsi="Times New Roman" w:cs="Times New Roman"/>
          <w:b/>
          <w:i/>
          <w:color w:val="auto"/>
          <w:sz w:val="24"/>
        </w:rPr>
        <w:t>дравно състояние на населението</w:t>
      </w:r>
      <w:r w:rsidR="007C4816" w:rsidRPr="003C65A3">
        <w:rPr>
          <w:rFonts w:ascii="Times New Roman" w:hAnsi="Times New Roman" w:cs="Times New Roman"/>
          <w:b/>
          <w:i/>
          <w:color w:val="auto"/>
          <w:sz w:val="24"/>
        </w:rPr>
        <w:t xml:space="preserve"> </w:t>
      </w:r>
    </w:p>
    <w:p w14:paraId="1AEF5396" w14:textId="77777777" w:rsidR="00A77F3C" w:rsidRPr="003C65A3" w:rsidRDefault="00A77F3C" w:rsidP="00A77F3C">
      <w:pPr>
        <w:spacing w:before="120" w:line="276" w:lineRule="auto"/>
        <w:ind w:firstLine="709"/>
        <w:jc w:val="both"/>
        <w:rPr>
          <w:rFonts w:ascii="Times New Roman" w:eastAsia="Calibri" w:hAnsi="Times New Roman" w:cs="Times New Roman"/>
          <w:iCs/>
          <w:sz w:val="24"/>
          <w:szCs w:val="24"/>
        </w:rPr>
      </w:pPr>
      <w:r w:rsidRPr="003C65A3">
        <w:rPr>
          <w:rFonts w:ascii="Times New Roman" w:eastAsia="Calibri" w:hAnsi="Times New Roman" w:cs="Times New Roman"/>
          <w:i/>
          <w:sz w:val="24"/>
          <w:szCs w:val="24"/>
        </w:rPr>
        <w:t>Здравословното състояние и здравният статус на населението</w:t>
      </w:r>
      <w:r w:rsidRPr="003C65A3">
        <w:rPr>
          <w:rFonts w:ascii="Times New Roman" w:eastAsia="Calibri" w:hAnsi="Times New Roman" w:cs="Times New Roman"/>
          <w:iCs/>
          <w:sz w:val="24"/>
          <w:szCs w:val="24"/>
        </w:rPr>
        <w:t xml:space="preserve"> е интегрален показател за социално-икономическото развитие на страната, качеството на живота на населението и качеството на развитие на човешкия капитал. Едновременното въздействие на значителен брой фактори като: пол, възраст, образование, трудова заетост и условия на труд, местоживеене, здравна култура, здравни традиции и нагласи, състояние на здравната система и степен на развитие на условия за равен достъп до здравни услуги за всички, определят характера на общия здравен статус на населението.</w:t>
      </w:r>
    </w:p>
    <w:p w14:paraId="6A6653B1" w14:textId="57658F3B" w:rsidR="00A77F3C" w:rsidRDefault="00A77F3C" w:rsidP="00A77F3C">
      <w:pPr>
        <w:spacing w:before="120" w:line="276" w:lineRule="auto"/>
        <w:ind w:firstLine="709"/>
        <w:jc w:val="both"/>
        <w:rPr>
          <w:rFonts w:ascii="Times New Roman" w:eastAsia="Calibri" w:hAnsi="Times New Roman" w:cs="Times New Roman"/>
          <w:i/>
          <w:sz w:val="24"/>
          <w:szCs w:val="24"/>
        </w:rPr>
      </w:pPr>
      <w:r w:rsidRPr="00B70800">
        <w:rPr>
          <w:rFonts w:ascii="Times New Roman" w:eastAsia="Calibri" w:hAnsi="Times New Roman" w:cs="Times New Roman"/>
          <w:i/>
          <w:sz w:val="24"/>
          <w:szCs w:val="24"/>
        </w:rPr>
        <w:t xml:space="preserve">В Доклада за екологична оценка на проекта на </w:t>
      </w:r>
      <w:r w:rsidR="005B5EB3">
        <w:rPr>
          <w:rFonts w:ascii="Times New Roman" w:eastAsia="Calibri" w:hAnsi="Times New Roman" w:cs="Times New Roman"/>
          <w:i/>
          <w:sz w:val="24"/>
          <w:szCs w:val="24"/>
        </w:rPr>
        <w:t>ИПЕК</w:t>
      </w:r>
      <w:r w:rsidRPr="00B70800">
        <w:rPr>
          <w:rFonts w:ascii="Times New Roman" w:eastAsia="Calibri" w:hAnsi="Times New Roman" w:cs="Times New Roman"/>
          <w:i/>
          <w:sz w:val="24"/>
          <w:szCs w:val="24"/>
        </w:rPr>
        <w:t xml:space="preserve"> ще бъде направен</w:t>
      </w:r>
      <w:r w:rsidR="00B90977" w:rsidRPr="00B70800">
        <w:rPr>
          <w:rFonts w:ascii="Times New Roman" w:eastAsia="Calibri" w:hAnsi="Times New Roman" w:cs="Times New Roman"/>
          <w:i/>
          <w:sz w:val="24"/>
          <w:szCs w:val="24"/>
        </w:rPr>
        <w:t xml:space="preserve"> </w:t>
      </w:r>
      <w:r w:rsidR="00B90977" w:rsidRPr="00B70800">
        <w:rPr>
          <w:rFonts w:ascii="Times New Roman" w:eastAsia="Calibri" w:hAnsi="Times New Roman" w:cs="Times New Roman"/>
          <w:b/>
          <w:bCs/>
          <w:i/>
          <w:sz w:val="24"/>
          <w:szCs w:val="24"/>
        </w:rPr>
        <w:t xml:space="preserve">анализ на текущото състояние </w:t>
      </w:r>
      <w:r w:rsidR="00C80750">
        <w:rPr>
          <w:rFonts w:ascii="Times New Roman" w:eastAsia="Calibri" w:hAnsi="Times New Roman" w:cs="Times New Roman"/>
          <w:b/>
          <w:bCs/>
          <w:i/>
          <w:sz w:val="24"/>
          <w:szCs w:val="24"/>
        </w:rPr>
        <w:t xml:space="preserve">на населението на Република България </w:t>
      </w:r>
      <w:r w:rsidR="00B90977" w:rsidRPr="00B70800">
        <w:rPr>
          <w:rFonts w:ascii="Times New Roman" w:eastAsia="Calibri" w:hAnsi="Times New Roman" w:cs="Times New Roman"/>
          <w:b/>
          <w:bCs/>
          <w:i/>
          <w:sz w:val="24"/>
          <w:szCs w:val="24"/>
        </w:rPr>
        <w:t>по основните демографски показатели</w:t>
      </w:r>
      <w:r w:rsidR="00B90977" w:rsidRPr="00B70800">
        <w:rPr>
          <w:rFonts w:ascii="Times New Roman" w:eastAsia="Calibri" w:hAnsi="Times New Roman" w:cs="Times New Roman"/>
          <w:i/>
          <w:sz w:val="24"/>
          <w:szCs w:val="24"/>
        </w:rPr>
        <w:t xml:space="preserve"> (раждаемост, смъртност, естествен прираст, детска смъртност, забол</w:t>
      </w:r>
      <w:r w:rsidR="0013562E" w:rsidRPr="00B70800">
        <w:rPr>
          <w:rFonts w:ascii="Times New Roman" w:eastAsia="Calibri" w:hAnsi="Times New Roman" w:cs="Times New Roman"/>
          <w:i/>
          <w:sz w:val="24"/>
          <w:szCs w:val="24"/>
        </w:rPr>
        <w:t>еваемост</w:t>
      </w:r>
      <w:r w:rsidR="00B90977" w:rsidRPr="00B70800">
        <w:rPr>
          <w:rFonts w:ascii="Times New Roman" w:eastAsia="Calibri" w:hAnsi="Times New Roman" w:cs="Times New Roman"/>
          <w:i/>
          <w:sz w:val="24"/>
          <w:szCs w:val="24"/>
        </w:rPr>
        <w:t xml:space="preserve">) на населението. </w:t>
      </w:r>
    </w:p>
    <w:p w14:paraId="72A5A1F6" w14:textId="4F283C2F" w:rsidR="000E0DAB" w:rsidRPr="00B70800" w:rsidRDefault="000E0DAB" w:rsidP="004F15F5">
      <w:pPr>
        <w:pStyle w:val="Heading3"/>
        <w:numPr>
          <w:ilvl w:val="1"/>
          <w:numId w:val="8"/>
        </w:numPr>
        <w:shd w:val="clear" w:color="auto" w:fill="E2EFD9" w:themeFill="accent6" w:themeFillTint="33"/>
        <w:spacing w:before="0" w:line="276" w:lineRule="auto"/>
        <w:ind w:left="0" w:firstLine="709"/>
        <w:jc w:val="both"/>
        <w:rPr>
          <w:rFonts w:ascii="Times New Roman" w:hAnsi="Times New Roman" w:cs="Times New Roman"/>
          <w:b/>
          <w:color w:val="auto"/>
        </w:rPr>
      </w:pPr>
      <w:bookmarkStart w:id="36" w:name="_Toc202730013"/>
      <w:r w:rsidRPr="00B70800">
        <w:rPr>
          <w:rFonts w:ascii="Times New Roman" w:hAnsi="Times New Roman" w:cs="Times New Roman"/>
          <w:b/>
          <w:color w:val="auto"/>
        </w:rPr>
        <w:t xml:space="preserve">Евентуално развитие на околната среда без прилагането на </w:t>
      </w:r>
      <w:r w:rsidR="005B5EB3">
        <w:rPr>
          <w:rFonts w:ascii="Times New Roman" w:hAnsi="Times New Roman" w:cs="Times New Roman"/>
          <w:b/>
          <w:color w:val="auto"/>
        </w:rPr>
        <w:t>ИПЕК</w:t>
      </w:r>
      <w:bookmarkEnd w:id="36"/>
    </w:p>
    <w:p w14:paraId="57435373" w14:textId="28BD7848" w:rsidR="00D0749C" w:rsidRPr="00B70800" w:rsidRDefault="00D0749C" w:rsidP="00D0749C">
      <w:pPr>
        <w:pStyle w:val="ListParagraph"/>
        <w:spacing w:line="276" w:lineRule="auto"/>
        <w:ind w:left="0" w:firstLine="709"/>
        <w:jc w:val="both"/>
        <w:rPr>
          <w:rFonts w:ascii="Times New Roman" w:hAnsi="Times New Roman" w:cs="Times New Roman"/>
          <w:i/>
          <w:sz w:val="24"/>
          <w:szCs w:val="24"/>
        </w:rPr>
      </w:pPr>
      <w:r w:rsidRPr="00B70800">
        <w:rPr>
          <w:rFonts w:ascii="Times New Roman" w:hAnsi="Times New Roman" w:cs="Times New Roman"/>
          <w:i/>
          <w:sz w:val="24"/>
          <w:szCs w:val="24"/>
        </w:rPr>
        <w:t xml:space="preserve">Въз основа на подробната характеристика на аспектите на околната среда в т. 2.1, която ще бъде разработена в доклада за ЕО, в т.2.2. ще бъде направен анализ на евентуално развитие на аспектите на околната среда, в т.ч. по отношение на човешкото здраве, без прилагането на </w:t>
      </w:r>
      <w:r w:rsidR="005B5EB3">
        <w:rPr>
          <w:rFonts w:ascii="Times New Roman" w:hAnsi="Times New Roman" w:cs="Times New Roman"/>
          <w:i/>
          <w:sz w:val="24"/>
          <w:szCs w:val="24"/>
        </w:rPr>
        <w:t>ИПЕК</w:t>
      </w:r>
      <w:r w:rsidRPr="00B70800">
        <w:rPr>
          <w:rFonts w:ascii="Times New Roman" w:hAnsi="Times New Roman" w:cs="Times New Roman"/>
          <w:i/>
          <w:sz w:val="24"/>
          <w:szCs w:val="24"/>
        </w:rPr>
        <w:t xml:space="preserve">. (по този начин ще бъде оценено въздействието на „нулевата алтернатива“, т.е. отказ от реализиране на </w:t>
      </w:r>
      <w:r w:rsidR="005B5EB3">
        <w:rPr>
          <w:rFonts w:ascii="Times New Roman" w:hAnsi="Times New Roman" w:cs="Times New Roman"/>
          <w:i/>
          <w:sz w:val="24"/>
          <w:szCs w:val="24"/>
        </w:rPr>
        <w:t>ИПЕК</w:t>
      </w:r>
      <w:r w:rsidR="00B70800" w:rsidRPr="00B70800">
        <w:rPr>
          <w:rFonts w:ascii="Times New Roman" w:hAnsi="Times New Roman" w:cs="Times New Roman"/>
          <w:i/>
          <w:sz w:val="24"/>
          <w:szCs w:val="24"/>
        </w:rPr>
        <w:t>)</w:t>
      </w:r>
      <w:r w:rsidRPr="00B70800">
        <w:rPr>
          <w:rFonts w:ascii="Times New Roman" w:hAnsi="Times New Roman" w:cs="Times New Roman"/>
          <w:i/>
          <w:sz w:val="24"/>
          <w:szCs w:val="24"/>
        </w:rPr>
        <w:t xml:space="preserve"> Ще бъде използвана следната примерна таблична форма: </w:t>
      </w:r>
    </w:p>
    <w:p w14:paraId="4CE550FF" w14:textId="77777777" w:rsidR="00D0749C" w:rsidRPr="00B70800" w:rsidRDefault="00D0749C" w:rsidP="00D0749C">
      <w:pPr>
        <w:pStyle w:val="ListParagraph"/>
        <w:spacing w:line="276" w:lineRule="auto"/>
        <w:ind w:left="0" w:firstLine="709"/>
        <w:jc w:val="both"/>
        <w:rPr>
          <w:rFonts w:ascii="Times New Roman" w:hAnsi="Times New Roman" w:cs="Times New Roman"/>
          <w:i/>
          <w:sz w:val="24"/>
          <w:szCs w:val="24"/>
        </w:rPr>
      </w:pPr>
    </w:p>
    <w:tbl>
      <w:tblPr>
        <w:tblStyle w:val="TableGrid"/>
        <w:tblW w:w="0" w:type="auto"/>
        <w:tblLook w:val="04A0" w:firstRow="1" w:lastRow="0" w:firstColumn="1" w:lastColumn="0" w:noHBand="0" w:noVBand="1"/>
      </w:tblPr>
      <w:tblGrid>
        <w:gridCol w:w="4562"/>
        <w:gridCol w:w="4562"/>
      </w:tblGrid>
      <w:tr w:rsidR="00D0749C" w:rsidRPr="00B70800" w14:paraId="4D5211D7" w14:textId="77777777" w:rsidTr="003A7130">
        <w:tc>
          <w:tcPr>
            <w:tcW w:w="4562" w:type="dxa"/>
            <w:shd w:val="clear" w:color="auto" w:fill="FFFFCC"/>
          </w:tcPr>
          <w:p w14:paraId="146127E6" w14:textId="77777777" w:rsidR="00D0749C" w:rsidRPr="00B70800" w:rsidRDefault="00D0749C" w:rsidP="003A7130">
            <w:pPr>
              <w:pStyle w:val="ListParagraph"/>
              <w:spacing w:line="276" w:lineRule="auto"/>
              <w:ind w:left="0"/>
              <w:jc w:val="center"/>
              <w:rPr>
                <w:rFonts w:ascii="Times New Roman" w:hAnsi="Times New Roman" w:cs="Times New Roman"/>
                <w:b/>
                <w:bCs/>
                <w:i/>
                <w:sz w:val="24"/>
                <w:szCs w:val="24"/>
              </w:rPr>
            </w:pPr>
            <w:r w:rsidRPr="00B70800">
              <w:rPr>
                <w:rFonts w:ascii="Times New Roman" w:hAnsi="Times New Roman" w:cs="Times New Roman"/>
                <w:b/>
                <w:bCs/>
                <w:i/>
                <w:sz w:val="24"/>
                <w:szCs w:val="24"/>
              </w:rPr>
              <w:t>Компоненти и фактори на околната среда</w:t>
            </w:r>
          </w:p>
        </w:tc>
        <w:tc>
          <w:tcPr>
            <w:tcW w:w="4562" w:type="dxa"/>
            <w:shd w:val="clear" w:color="auto" w:fill="FFFFCC"/>
          </w:tcPr>
          <w:p w14:paraId="6E444D30" w14:textId="565A30BA" w:rsidR="00D0749C" w:rsidRPr="00B70800" w:rsidRDefault="00D0749C" w:rsidP="00B70800">
            <w:pPr>
              <w:pStyle w:val="ListParagraph"/>
              <w:spacing w:line="276" w:lineRule="auto"/>
              <w:ind w:left="0"/>
              <w:jc w:val="center"/>
              <w:rPr>
                <w:rFonts w:ascii="Times New Roman" w:hAnsi="Times New Roman" w:cs="Times New Roman"/>
                <w:b/>
                <w:bCs/>
                <w:i/>
                <w:sz w:val="24"/>
                <w:szCs w:val="24"/>
              </w:rPr>
            </w:pPr>
            <w:r w:rsidRPr="00B70800">
              <w:rPr>
                <w:rFonts w:ascii="Times New Roman" w:hAnsi="Times New Roman" w:cs="Times New Roman"/>
                <w:b/>
                <w:bCs/>
                <w:i/>
                <w:sz w:val="24"/>
                <w:szCs w:val="24"/>
              </w:rPr>
              <w:t xml:space="preserve">Развитие без прилагане на </w:t>
            </w:r>
            <w:r w:rsidR="005B5EB3">
              <w:rPr>
                <w:rFonts w:ascii="Times New Roman" w:hAnsi="Times New Roman" w:cs="Times New Roman"/>
                <w:b/>
                <w:bCs/>
                <w:i/>
                <w:sz w:val="24"/>
                <w:szCs w:val="24"/>
              </w:rPr>
              <w:t>ИПЕК</w:t>
            </w:r>
          </w:p>
        </w:tc>
      </w:tr>
      <w:tr w:rsidR="00D0749C" w:rsidRPr="00B70800" w14:paraId="1B987DB1" w14:textId="77777777" w:rsidTr="003A7130">
        <w:tc>
          <w:tcPr>
            <w:tcW w:w="4562" w:type="dxa"/>
          </w:tcPr>
          <w:p w14:paraId="6083320E" w14:textId="77777777" w:rsidR="00D0749C" w:rsidRPr="00B70800" w:rsidRDefault="00D0749C" w:rsidP="003A7130">
            <w:pPr>
              <w:pStyle w:val="ListParagraph"/>
              <w:spacing w:line="276" w:lineRule="auto"/>
              <w:ind w:left="0"/>
              <w:jc w:val="both"/>
              <w:rPr>
                <w:rFonts w:ascii="Times New Roman" w:hAnsi="Times New Roman" w:cs="Times New Roman"/>
                <w:i/>
                <w:sz w:val="24"/>
                <w:szCs w:val="24"/>
                <w:highlight w:val="yellow"/>
              </w:rPr>
            </w:pPr>
          </w:p>
        </w:tc>
        <w:tc>
          <w:tcPr>
            <w:tcW w:w="4562" w:type="dxa"/>
          </w:tcPr>
          <w:p w14:paraId="242431D5" w14:textId="77777777" w:rsidR="00D0749C" w:rsidRPr="00B70800" w:rsidRDefault="00D0749C" w:rsidP="003A7130">
            <w:pPr>
              <w:pStyle w:val="ListParagraph"/>
              <w:spacing w:line="276" w:lineRule="auto"/>
              <w:ind w:left="0"/>
              <w:jc w:val="both"/>
              <w:rPr>
                <w:rFonts w:ascii="Times New Roman" w:hAnsi="Times New Roman" w:cs="Times New Roman"/>
                <w:i/>
                <w:sz w:val="24"/>
                <w:szCs w:val="24"/>
                <w:highlight w:val="yellow"/>
              </w:rPr>
            </w:pPr>
          </w:p>
        </w:tc>
      </w:tr>
    </w:tbl>
    <w:p w14:paraId="441AA373" w14:textId="77777777" w:rsidR="00D0749C" w:rsidRPr="00B70800" w:rsidRDefault="00D0749C" w:rsidP="00D0749C"/>
    <w:p w14:paraId="4CFD5CCD" w14:textId="3A8B858E" w:rsidR="00C35DBD" w:rsidRPr="00B70800" w:rsidRDefault="007E4F98" w:rsidP="004F15F5">
      <w:pPr>
        <w:pStyle w:val="Heading2"/>
        <w:numPr>
          <w:ilvl w:val="0"/>
          <w:numId w:val="8"/>
        </w:numPr>
        <w:shd w:val="clear" w:color="auto" w:fill="E2EFD9" w:themeFill="accent6" w:themeFillTint="33"/>
        <w:spacing w:before="0" w:line="276" w:lineRule="auto"/>
        <w:ind w:left="0" w:firstLine="709"/>
        <w:jc w:val="both"/>
        <w:rPr>
          <w:rFonts w:ascii="Times New Roman" w:hAnsi="Times New Roman" w:cs="Times New Roman"/>
          <w:b/>
          <w:i/>
          <w:color w:val="auto"/>
        </w:rPr>
      </w:pPr>
      <w:bookmarkStart w:id="37" w:name="_Toc202730014"/>
      <w:r w:rsidRPr="00B70800">
        <w:rPr>
          <w:rFonts w:ascii="Times New Roman" w:hAnsi="Times New Roman" w:cs="Times New Roman"/>
          <w:b/>
          <w:i/>
          <w:color w:val="auto"/>
        </w:rPr>
        <w:lastRenderedPageBreak/>
        <w:t xml:space="preserve">Характеристика на околната среда за територии, които вероятно ще бъдат значително засегнати с реализацията на </w:t>
      </w:r>
      <w:r w:rsidR="005B5EB3">
        <w:rPr>
          <w:rFonts w:ascii="Times New Roman" w:hAnsi="Times New Roman" w:cs="Times New Roman"/>
          <w:b/>
          <w:i/>
          <w:color w:val="auto"/>
        </w:rPr>
        <w:t>ИПЕК</w:t>
      </w:r>
      <w:r w:rsidR="00D0749C" w:rsidRPr="00B70800">
        <w:rPr>
          <w:rFonts w:ascii="Times New Roman" w:hAnsi="Times New Roman" w:cs="Times New Roman"/>
          <w:b/>
          <w:i/>
          <w:color w:val="auto"/>
        </w:rPr>
        <w:t>.</w:t>
      </w:r>
      <w:bookmarkEnd w:id="37"/>
    </w:p>
    <w:p w14:paraId="2EDDFF23" w14:textId="451F94E1" w:rsidR="00D0749C" w:rsidRPr="00B70800" w:rsidRDefault="00D0749C" w:rsidP="00D0749C">
      <w:pPr>
        <w:pStyle w:val="ListParagraph"/>
        <w:spacing w:before="120" w:after="0" w:line="276" w:lineRule="auto"/>
        <w:ind w:left="0" w:firstLine="709"/>
        <w:jc w:val="both"/>
        <w:rPr>
          <w:rFonts w:ascii="Times New Roman" w:hAnsi="Times New Roman" w:cs="Times New Roman"/>
          <w:i/>
          <w:sz w:val="24"/>
          <w:szCs w:val="24"/>
        </w:rPr>
      </w:pPr>
      <w:r w:rsidRPr="00B70800">
        <w:rPr>
          <w:rFonts w:ascii="Times New Roman" w:hAnsi="Times New Roman" w:cs="Times New Roman"/>
          <w:i/>
          <w:sz w:val="24"/>
          <w:szCs w:val="24"/>
        </w:rPr>
        <w:t xml:space="preserve">Въз основа на характеристиката на аспектите на околната среда към момента (която ще бъде направена в т.2 на доклада да ЕО), както и на предвижданията на </w:t>
      </w:r>
      <w:r w:rsidR="005B5EB3">
        <w:rPr>
          <w:rFonts w:ascii="Times New Roman" w:hAnsi="Times New Roman" w:cs="Times New Roman"/>
          <w:i/>
          <w:sz w:val="24"/>
          <w:szCs w:val="24"/>
        </w:rPr>
        <w:t>ИПЕК</w:t>
      </w:r>
      <w:r w:rsidRPr="00B70800">
        <w:rPr>
          <w:rFonts w:ascii="Times New Roman" w:hAnsi="Times New Roman" w:cs="Times New Roman"/>
          <w:i/>
          <w:sz w:val="24"/>
          <w:szCs w:val="24"/>
        </w:rPr>
        <w:t>, в тази точка ще бъде обърнато внимание на онези територии</w:t>
      </w:r>
      <w:r w:rsidR="00BA6AF1">
        <w:rPr>
          <w:rFonts w:ascii="Times New Roman" w:hAnsi="Times New Roman" w:cs="Times New Roman"/>
          <w:i/>
          <w:sz w:val="24"/>
          <w:szCs w:val="24"/>
        </w:rPr>
        <w:t xml:space="preserve"> </w:t>
      </w:r>
      <w:r w:rsidR="00BA6AF1">
        <w:rPr>
          <w:rFonts w:ascii="Times New Roman" w:hAnsi="Times New Roman" w:cs="Times New Roman"/>
          <w:i/>
          <w:sz w:val="24"/>
          <w:szCs w:val="24"/>
          <w:lang w:val="en-US"/>
        </w:rPr>
        <w:t>(</w:t>
      </w:r>
      <w:r w:rsidR="00BA6AF1">
        <w:rPr>
          <w:rFonts w:ascii="Times New Roman" w:hAnsi="Times New Roman" w:cs="Times New Roman"/>
          <w:i/>
          <w:sz w:val="24"/>
          <w:szCs w:val="24"/>
        </w:rPr>
        <w:t>доколкото могат да бъдат идентифицирани в съответствие с нивото на подробност на предвижданията на плана</w:t>
      </w:r>
      <w:r w:rsidR="00BA6AF1">
        <w:rPr>
          <w:rFonts w:ascii="Times New Roman" w:hAnsi="Times New Roman" w:cs="Times New Roman"/>
          <w:i/>
          <w:sz w:val="24"/>
          <w:szCs w:val="24"/>
          <w:lang w:val="en-US"/>
        </w:rPr>
        <w:t>)</w:t>
      </w:r>
      <w:r w:rsidRPr="00B70800">
        <w:rPr>
          <w:rFonts w:ascii="Times New Roman" w:hAnsi="Times New Roman" w:cs="Times New Roman"/>
          <w:i/>
          <w:sz w:val="24"/>
          <w:szCs w:val="24"/>
        </w:rPr>
        <w:t>, които ще са най-значително засегнати от п</w:t>
      </w:r>
      <w:r w:rsidR="00B70800" w:rsidRPr="00B70800">
        <w:rPr>
          <w:rFonts w:ascii="Times New Roman" w:hAnsi="Times New Roman" w:cs="Times New Roman"/>
          <w:i/>
          <w:sz w:val="24"/>
          <w:szCs w:val="24"/>
        </w:rPr>
        <w:t>лана</w:t>
      </w:r>
      <w:r w:rsidRPr="00B70800">
        <w:rPr>
          <w:rFonts w:ascii="Times New Roman" w:hAnsi="Times New Roman" w:cs="Times New Roman"/>
          <w:i/>
          <w:sz w:val="24"/>
          <w:szCs w:val="24"/>
        </w:rPr>
        <w:t>. Ще бъдат подробно разгледани чувствителни територии като защитени зони от екологичната мрежа „Натура 2000”, населени места и други обекти, подлежащи на здравна защита, санитарно-охранителни зони около водоизточници, зони с риск от наводнения и др.</w:t>
      </w:r>
    </w:p>
    <w:p w14:paraId="1591B351" w14:textId="77777777" w:rsidR="00D0749C" w:rsidRPr="00AD3F86" w:rsidRDefault="00D0749C" w:rsidP="00D0749C"/>
    <w:p w14:paraId="1198D67D" w14:textId="2EA7B792" w:rsidR="00833369" w:rsidRPr="00AD3F86" w:rsidRDefault="007E4F98" w:rsidP="004F15F5">
      <w:pPr>
        <w:pStyle w:val="Heading2"/>
        <w:numPr>
          <w:ilvl w:val="0"/>
          <w:numId w:val="8"/>
        </w:numPr>
        <w:shd w:val="clear" w:color="auto" w:fill="E2EFD9" w:themeFill="accent6" w:themeFillTint="33"/>
        <w:spacing w:before="0" w:line="276" w:lineRule="auto"/>
        <w:ind w:left="0" w:firstLine="709"/>
        <w:jc w:val="both"/>
        <w:rPr>
          <w:rFonts w:ascii="Times New Roman" w:hAnsi="Times New Roman" w:cs="Times New Roman"/>
          <w:b/>
          <w:i/>
          <w:color w:val="auto"/>
        </w:rPr>
      </w:pPr>
      <w:bookmarkStart w:id="38" w:name="_Toc202730015"/>
      <w:r w:rsidRPr="00AD3F86">
        <w:rPr>
          <w:rFonts w:ascii="Times New Roman" w:hAnsi="Times New Roman" w:cs="Times New Roman"/>
          <w:b/>
          <w:i/>
          <w:color w:val="auto"/>
        </w:rPr>
        <w:t>Съществуващи екологични проблеми, установени на различно ниво, имащи отношение към</w:t>
      </w:r>
      <w:r w:rsidR="00FB75C7" w:rsidRPr="00AD3F86">
        <w:rPr>
          <w:rFonts w:ascii="Times New Roman" w:hAnsi="Times New Roman" w:cs="Times New Roman"/>
          <w:b/>
          <w:i/>
          <w:color w:val="auto"/>
        </w:rPr>
        <w:t xml:space="preserve"> </w:t>
      </w:r>
      <w:r w:rsidR="005B5EB3">
        <w:rPr>
          <w:rFonts w:ascii="Times New Roman" w:hAnsi="Times New Roman" w:cs="Times New Roman"/>
          <w:b/>
          <w:i/>
          <w:color w:val="auto"/>
        </w:rPr>
        <w:t>ИПЕК</w:t>
      </w:r>
      <w:r w:rsidR="00C84EDA" w:rsidRPr="00AD3F86">
        <w:rPr>
          <w:rFonts w:ascii="Times New Roman" w:eastAsia="Times New Roman" w:hAnsi="Times New Roman" w:cs="Times New Roman"/>
          <w:b/>
          <w:i/>
          <w:color w:val="auto"/>
        </w:rPr>
        <w:t>, включително отнасящите се до райони с особено екологично значение, като защитените зони по Закона за биологичното разнообразие</w:t>
      </w:r>
      <w:bookmarkEnd w:id="38"/>
    </w:p>
    <w:tbl>
      <w:tblPr>
        <w:tblStyle w:val="TableGrid"/>
        <w:tblW w:w="0" w:type="auto"/>
        <w:tblLook w:val="04A0" w:firstRow="1" w:lastRow="0" w:firstColumn="1" w:lastColumn="0" w:noHBand="0" w:noVBand="1"/>
      </w:tblPr>
      <w:tblGrid>
        <w:gridCol w:w="9350"/>
      </w:tblGrid>
      <w:tr w:rsidR="00E35D0A" w:rsidRPr="00756574" w14:paraId="47961FD5" w14:textId="77777777" w:rsidTr="00982C96">
        <w:tc>
          <w:tcPr>
            <w:tcW w:w="9350" w:type="dxa"/>
            <w:tcBorders>
              <w:top w:val="nil"/>
              <w:left w:val="nil"/>
              <w:bottom w:val="nil"/>
              <w:right w:val="nil"/>
            </w:tcBorders>
          </w:tcPr>
          <w:p w14:paraId="2F692565" w14:textId="77777777" w:rsidR="00C84EDA" w:rsidRPr="00756574" w:rsidRDefault="00C84EDA" w:rsidP="001D33CA">
            <w:pPr>
              <w:pStyle w:val="ListParagraph"/>
              <w:spacing w:line="276" w:lineRule="auto"/>
              <w:ind w:left="0" w:firstLine="709"/>
              <w:jc w:val="both"/>
              <w:rPr>
                <w:rFonts w:ascii="Times New Roman" w:hAnsi="Times New Roman" w:cs="Times New Roman"/>
                <w:i/>
                <w:sz w:val="24"/>
                <w:szCs w:val="24"/>
              </w:rPr>
            </w:pPr>
          </w:p>
          <w:p w14:paraId="6FCC5F11" w14:textId="3A89384B" w:rsidR="00C84EDA" w:rsidRPr="00756574" w:rsidRDefault="008E7167" w:rsidP="001D33CA">
            <w:pPr>
              <w:pStyle w:val="ListParagraph"/>
              <w:spacing w:line="276" w:lineRule="auto"/>
              <w:ind w:left="0" w:firstLine="709"/>
              <w:jc w:val="both"/>
              <w:rPr>
                <w:rFonts w:ascii="Times New Roman" w:hAnsi="Times New Roman" w:cs="Times New Roman"/>
                <w:i/>
                <w:sz w:val="24"/>
                <w:szCs w:val="24"/>
              </w:rPr>
            </w:pPr>
            <w:r w:rsidRPr="00756574">
              <w:rPr>
                <w:rFonts w:ascii="Times New Roman" w:hAnsi="Times New Roman" w:cs="Times New Roman"/>
                <w:i/>
                <w:sz w:val="24"/>
                <w:szCs w:val="24"/>
              </w:rPr>
              <w:t xml:space="preserve">В точката ще бъдат описани съществуващите екологични проблеми в страната, установени на различно ниво, имащи отношение към </w:t>
            </w:r>
            <w:r w:rsidR="005B5EB3">
              <w:rPr>
                <w:rFonts w:ascii="Times New Roman" w:hAnsi="Times New Roman" w:cs="Times New Roman"/>
                <w:i/>
                <w:sz w:val="24"/>
                <w:szCs w:val="24"/>
              </w:rPr>
              <w:t>ИПЕК</w:t>
            </w:r>
            <w:r w:rsidRPr="00756574">
              <w:rPr>
                <w:rFonts w:ascii="Times New Roman" w:hAnsi="Times New Roman" w:cs="Times New Roman"/>
                <w:i/>
                <w:sz w:val="24"/>
                <w:szCs w:val="24"/>
              </w:rPr>
              <w:t>. Ще бъде направен анализ на връзката между екологичните проблеми и предвижданията на п</w:t>
            </w:r>
            <w:r w:rsidR="00756574" w:rsidRPr="00756574">
              <w:rPr>
                <w:rFonts w:ascii="Times New Roman" w:hAnsi="Times New Roman" w:cs="Times New Roman"/>
                <w:i/>
                <w:sz w:val="24"/>
                <w:szCs w:val="24"/>
              </w:rPr>
              <w:t>лана</w:t>
            </w:r>
            <w:r w:rsidRPr="00756574">
              <w:rPr>
                <w:rFonts w:ascii="Times New Roman" w:hAnsi="Times New Roman" w:cs="Times New Roman"/>
                <w:i/>
                <w:sz w:val="24"/>
                <w:szCs w:val="24"/>
              </w:rPr>
              <w:t xml:space="preserve">, съответно – изводи дали </w:t>
            </w:r>
            <w:r w:rsidR="005B5EB3" w:rsidRPr="00A30F6F">
              <w:rPr>
                <w:rFonts w:ascii="Times New Roman" w:hAnsi="Times New Roman" w:cs="Times New Roman"/>
                <w:bCs/>
                <w:i/>
              </w:rPr>
              <w:t>ИПЕК</w:t>
            </w:r>
            <w:r w:rsidRPr="00756574">
              <w:rPr>
                <w:rFonts w:ascii="Times New Roman" w:hAnsi="Times New Roman" w:cs="Times New Roman"/>
                <w:i/>
                <w:sz w:val="24"/>
                <w:szCs w:val="24"/>
              </w:rPr>
              <w:t xml:space="preserve"> води до подобряване на екологичната обстановка, или до влошаване и задълбочаване на съществуващи екологични проблеми и/или възникване на нови такива.</w:t>
            </w:r>
          </w:p>
          <w:p w14:paraId="0E68050B" w14:textId="77777777" w:rsidR="00105DFC" w:rsidRPr="00756574" w:rsidRDefault="00105DFC" w:rsidP="001D33CA">
            <w:pPr>
              <w:pStyle w:val="ListParagraph"/>
              <w:spacing w:line="276" w:lineRule="auto"/>
              <w:ind w:left="0" w:firstLine="709"/>
              <w:jc w:val="both"/>
              <w:rPr>
                <w:rFonts w:ascii="Times New Roman" w:hAnsi="Times New Roman" w:cs="Times New Roman"/>
                <w:i/>
                <w:sz w:val="24"/>
                <w:szCs w:val="24"/>
              </w:rPr>
            </w:pPr>
          </w:p>
        </w:tc>
      </w:tr>
    </w:tbl>
    <w:p w14:paraId="655007FE" w14:textId="129FED0C" w:rsidR="00833369" w:rsidRPr="00756574" w:rsidRDefault="007E4F98" w:rsidP="004F15F5">
      <w:pPr>
        <w:pStyle w:val="Heading2"/>
        <w:numPr>
          <w:ilvl w:val="0"/>
          <w:numId w:val="8"/>
        </w:numPr>
        <w:shd w:val="clear" w:color="auto" w:fill="E2EFD9" w:themeFill="accent6" w:themeFillTint="33"/>
        <w:spacing w:before="0" w:line="276" w:lineRule="auto"/>
        <w:ind w:left="0" w:firstLine="709"/>
        <w:jc w:val="both"/>
        <w:rPr>
          <w:rFonts w:ascii="Times New Roman" w:hAnsi="Times New Roman" w:cs="Times New Roman"/>
          <w:b/>
          <w:i/>
          <w:color w:val="auto"/>
        </w:rPr>
      </w:pPr>
      <w:bookmarkStart w:id="39" w:name="_Toc202730016"/>
      <w:r w:rsidRPr="00756574">
        <w:rPr>
          <w:rFonts w:ascii="Times New Roman" w:hAnsi="Times New Roman" w:cs="Times New Roman"/>
          <w:b/>
          <w:i/>
          <w:color w:val="auto"/>
        </w:rPr>
        <w:t xml:space="preserve">Цели на опазване на околната среда на национално и международно равнище, имащи отношение към </w:t>
      </w:r>
      <w:r w:rsidR="005B5EB3">
        <w:rPr>
          <w:rFonts w:ascii="Times New Roman" w:hAnsi="Times New Roman" w:cs="Times New Roman"/>
          <w:b/>
          <w:i/>
          <w:color w:val="auto"/>
        </w:rPr>
        <w:t>ИПЕК</w:t>
      </w:r>
      <w:r w:rsidR="00495D32" w:rsidRPr="00756574">
        <w:rPr>
          <w:rFonts w:ascii="Times New Roman" w:hAnsi="Times New Roman" w:cs="Times New Roman"/>
          <w:b/>
          <w:i/>
          <w:color w:val="auto"/>
        </w:rPr>
        <w:t xml:space="preserve"> </w:t>
      </w:r>
      <w:r w:rsidRPr="00756574">
        <w:rPr>
          <w:rFonts w:ascii="Times New Roman" w:hAnsi="Times New Roman" w:cs="Times New Roman"/>
          <w:b/>
          <w:i/>
          <w:color w:val="auto"/>
        </w:rPr>
        <w:t xml:space="preserve">и начин, по който тези цели и всички екологични съображения са взети под внимание при </w:t>
      </w:r>
      <w:r w:rsidR="0009757D" w:rsidRPr="00756574">
        <w:rPr>
          <w:rFonts w:ascii="Times New Roman" w:hAnsi="Times New Roman" w:cs="Times New Roman"/>
          <w:b/>
          <w:i/>
          <w:color w:val="auto"/>
        </w:rPr>
        <w:t>изготвянето на п</w:t>
      </w:r>
      <w:r w:rsidR="00B77B6F">
        <w:rPr>
          <w:rFonts w:ascii="Times New Roman" w:hAnsi="Times New Roman" w:cs="Times New Roman"/>
          <w:b/>
          <w:i/>
          <w:color w:val="auto"/>
        </w:rPr>
        <w:t>лана</w:t>
      </w:r>
      <w:bookmarkEnd w:id="39"/>
    </w:p>
    <w:p w14:paraId="4A4F7E67" w14:textId="5982FFBA" w:rsidR="004D7BC6" w:rsidRPr="00756574" w:rsidRDefault="004D7BC6" w:rsidP="004D7BC6">
      <w:pPr>
        <w:pStyle w:val="ListParagraph"/>
        <w:spacing w:before="120" w:after="120" w:line="276" w:lineRule="auto"/>
        <w:ind w:left="0" w:firstLine="709"/>
        <w:jc w:val="both"/>
        <w:rPr>
          <w:rFonts w:ascii="Times New Roman" w:hAnsi="Times New Roman" w:cs="Times New Roman"/>
          <w:i/>
          <w:sz w:val="24"/>
          <w:szCs w:val="24"/>
        </w:rPr>
      </w:pPr>
      <w:r w:rsidRPr="00756574">
        <w:rPr>
          <w:rFonts w:ascii="Times New Roman" w:hAnsi="Times New Roman" w:cs="Times New Roman"/>
          <w:i/>
          <w:sz w:val="24"/>
          <w:szCs w:val="24"/>
        </w:rPr>
        <w:t xml:space="preserve">В тази точка ще бъде направен анализ на стратегиите, плановете и програмите, които поставят цели по опазване на околната среда на национално и международно равнище, които имат отношение към </w:t>
      </w:r>
      <w:r w:rsidR="005B5EB3">
        <w:rPr>
          <w:rFonts w:ascii="Times New Roman" w:hAnsi="Times New Roman" w:cs="Times New Roman"/>
          <w:i/>
          <w:sz w:val="24"/>
          <w:szCs w:val="24"/>
        </w:rPr>
        <w:t>ИПЕК</w:t>
      </w:r>
      <w:r w:rsidRPr="00756574">
        <w:rPr>
          <w:rFonts w:ascii="Times New Roman" w:hAnsi="Times New Roman" w:cs="Times New Roman"/>
          <w:i/>
          <w:sz w:val="24"/>
          <w:szCs w:val="24"/>
        </w:rPr>
        <w:t>. Въз основа на анализа, ще бъдат направени изводи за начина и степента, в които в п</w:t>
      </w:r>
      <w:r w:rsidR="00B77B6F">
        <w:rPr>
          <w:rFonts w:ascii="Times New Roman" w:hAnsi="Times New Roman" w:cs="Times New Roman"/>
          <w:i/>
          <w:sz w:val="24"/>
          <w:szCs w:val="24"/>
        </w:rPr>
        <w:t>лана</w:t>
      </w:r>
      <w:r w:rsidRPr="00756574">
        <w:rPr>
          <w:rFonts w:ascii="Times New Roman" w:hAnsi="Times New Roman" w:cs="Times New Roman"/>
          <w:i/>
          <w:sz w:val="24"/>
          <w:szCs w:val="24"/>
        </w:rPr>
        <w:t xml:space="preserve"> тези цели и екологични съображения са взети предвид, и при необходимост ще бъдат предложени промени в обхвата на п</w:t>
      </w:r>
      <w:r w:rsidR="00756574" w:rsidRPr="00756574">
        <w:rPr>
          <w:rFonts w:ascii="Times New Roman" w:hAnsi="Times New Roman" w:cs="Times New Roman"/>
          <w:i/>
          <w:sz w:val="24"/>
          <w:szCs w:val="24"/>
        </w:rPr>
        <w:t>лана</w:t>
      </w:r>
      <w:r w:rsidRPr="00756574">
        <w:rPr>
          <w:rFonts w:ascii="Times New Roman" w:hAnsi="Times New Roman" w:cs="Times New Roman"/>
          <w:i/>
          <w:sz w:val="24"/>
          <w:szCs w:val="24"/>
        </w:rPr>
        <w:t xml:space="preserve"> с цел постигане на съответствие и предотвратяване на противоречията с целите по опазване на околната среда.</w:t>
      </w:r>
    </w:p>
    <w:p w14:paraId="66B11B2B" w14:textId="77777777" w:rsidR="004A08B0" w:rsidRPr="00756574" w:rsidRDefault="004A08B0" w:rsidP="004D7BC6">
      <w:pPr>
        <w:pStyle w:val="ListParagraph"/>
        <w:spacing w:before="120" w:after="120" w:line="276" w:lineRule="auto"/>
        <w:ind w:left="0" w:firstLine="709"/>
        <w:jc w:val="both"/>
        <w:rPr>
          <w:rFonts w:ascii="Times New Roman" w:hAnsi="Times New Roman" w:cs="Times New Roman"/>
          <w:i/>
          <w:sz w:val="24"/>
          <w:szCs w:val="24"/>
        </w:rPr>
      </w:pPr>
    </w:p>
    <w:p w14:paraId="336C3416" w14:textId="77777777" w:rsidR="00833369" w:rsidRPr="00756574" w:rsidRDefault="007E4F98" w:rsidP="004F15F5">
      <w:pPr>
        <w:pStyle w:val="Heading2"/>
        <w:numPr>
          <w:ilvl w:val="0"/>
          <w:numId w:val="8"/>
        </w:numPr>
        <w:shd w:val="clear" w:color="auto" w:fill="E2EFD9" w:themeFill="accent6" w:themeFillTint="33"/>
        <w:spacing w:before="0" w:line="276" w:lineRule="auto"/>
        <w:ind w:left="0" w:firstLine="709"/>
        <w:jc w:val="both"/>
        <w:rPr>
          <w:rFonts w:ascii="Times New Roman" w:hAnsi="Times New Roman" w:cs="Times New Roman"/>
          <w:b/>
          <w:i/>
          <w:color w:val="auto"/>
        </w:rPr>
      </w:pPr>
      <w:bookmarkStart w:id="40" w:name="_Toc202730017"/>
      <w:r w:rsidRPr="00756574">
        <w:rPr>
          <w:rFonts w:ascii="Times New Roman" w:hAnsi="Times New Roman" w:cs="Times New Roman"/>
          <w:b/>
          <w:i/>
          <w:color w:val="auto"/>
        </w:rPr>
        <w:lastRenderedPageBreak/>
        <w:t>Вероятни значителни въздействия върху околната среда и човешкото здраве</w:t>
      </w:r>
      <w:r w:rsidR="0009757D" w:rsidRPr="00756574">
        <w:rPr>
          <w:rFonts w:ascii="Times New Roman" w:hAnsi="Times New Roman" w:cs="Times New Roman"/>
          <w:b/>
          <w:i/>
          <w:color w:val="auto"/>
        </w:rPr>
        <w:t>, в т.ч. трансгранични въздействия върху околната среда на други държави</w:t>
      </w:r>
      <w:bookmarkEnd w:id="40"/>
      <w:r w:rsidR="00FC09BA" w:rsidRPr="00756574">
        <w:rPr>
          <w:rFonts w:ascii="Times New Roman" w:hAnsi="Times New Roman" w:cs="Times New Roman"/>
          <w:b/>
          <w:i/>
          <w:color w:val="auto"/>
        </w:rPr>
        <w:t xml:space="preserve"> </w:t>
      </w:r>
    </w:p>
    <w:p w14:paraId="5917064F" w14:textId="47C5086A" w:rsidR="003A7130" w:rsidRPr="00756574" w:rsidRDefault="003A7130" w:rsidP="003A7130">
      <w:pPr>
        <w:pStyle w:val="ListParagraph"/>
        <w:spacing w:before="120" w:after="120" w:line="276" w:lineRule="auto"/>
        <w:ind w:left="0" w:firstLine="709"/>
        <w:jc w:val="both"/>
        <w:rPr>
          <w:rFonts w:ascii="Times New Roman" w:hAnsi="Times New Roman" w:cs="Times New Roman"/>
          <w:i/>
          <w:sz w:val="24"/>
          <w:szCs w:val="24"/>
        </w:rPr>
      </w:pPr>
      <w:r w:rsidRPr="00756574">
        <w:rPr>
          <w:rFonts w:ascii="Times New Roman" w:hAnsi="Times New Roman" w:cs="Times New Roman"/>
          <w:i/>
          <w:sz w:val="24"/>
          <w:szCs w:val="24"/>
        </w:rPr>
        <w:t xml:space="preserve">Тъй като </w:t>
      </w:r>
      <w:r w:rsidR="005B5EB3">
        <w:rPr>
          <w:rFonts w:ascii="Times New Roman" w:hAnsi="Times New Roman" w:cs="Times New Roman"/>
          <w:i/>
          <w:sz w:val="24"/>
          <w:szCs w:val="24"/>
        </w:rPr>
        <w:t>ИПЕК</w:t>
      </w:r>
      <w:r w:rsidRPr="00756574">
        <w:rPr>
          <w:rFonts w:ascii="Times New Roman" w:hAnsi="Times New Roman" w:cs="Times New Roman"/>
          <w:i/>
          <w:sz w:val="24"/>
          <w:szCs w:val="24"/>
        </w:rPr>
        <w:t xml:space="preserve"> е стратегически документ, оценката на вероятните значителни въздействия върху околната среда и човешкото здраве ще бъде разделена на две нива на подробност:</w:t>
      </w:r>
    </w:p>
    <w:p w14:paraId="6359E821" w14:textId="77777777" w:rsidR="003A7130" w:rsidRPr="00756574" w:rsidRDefault="00625337" w:rsidP="00756574">
      <w:pPr>
        <w:pStyle w:val="Heading3"/>
        <w:shd w:val="clear" w:color="auto" w:fill="F7CAAC" w:themeFill="accent2" w:themeFillTint="66"/>
        <w:spacing w:before="0" w:line="276" w:lineRule="auto"/>
        <w:ind w:left="709"/>
        <w:jc w:val="both"/>
        <w:rPr>
          <w:rFonts w:ascii="Times New Roman" w:hAnsi="Times New Roman" w:cs="Times New Roman"/>
          <w:b/>
          <w:color w:val="auto"/>
        </w:rPr>
      </w:pPr>
      <w:bookmarkStart w:id="41" w:name="_Toc202730018"/>
      <w:r w:rsidRPr="00756574">
        <w:rPr>
          <w:rFonts w:ascii="Times New Roman" w:hAnsi="Times New Roman" w:cs="Times New Roman"/>
          <w:b/>
          <w:color w:val="auto"/>
        </w:rPr>
        <w:t xml:space="preserve">6.1. </w:t>
      </w:r>
      <w:r w:rsidR="003A7130" w:rsidRPr="00756574">
        <w:rPr>
          <w:rFonts w:ascii="Times New Roman" w:hAnsi="Times New Roman" w:cs="Times New Roman"/>
          <w:b/>
          <w:color w:val="auto"/>
        </w:rPr>
        <w:t>Стратегическо ниво на въздействие</w:t>
      </w:r>
      <w:bookmarkEnd w:id="41"/>
    </w:p>
    <w:p w14:paraId="0B2B1541" w14:textId="783CF420" w:rsidR="003A7130" w:rsidRPr="00756574" w:rsidRDefault="003A7130" w:rsidP="003A7130">
      <w:pPr>
        <w:pStyle w:val="ListParagraph"/>
        <w:spacing w:before="120" w:after="120" w:line="276" w:lineRule="auto"/>
        <w:ind w:left="0" w:firstLine="709"/>
        <w:jc w:val="both"/>
        <w:rPr>
          <w:rFonts w:ascii="Times New Roman" w:hAnsi="Times New Roman" w:cs="Times New Roman"/>
          <w:i/>
          <w:sz w:val="24"/>
          <w:szCs w:val="24"/>
        </w:rPr>
      </w:pPr>
      <w:r w:rsidRPr="00756574">
        <w:rPr>
          <w:rFonts w:ascii="Times New Roman" w:hAnsi="Times New Roman" w:cs="Times New Roman"/>
          <w:i/>
          <w:sz w:val="24"/>
          <w:szCs w:val="24"/>
        </w:rPr>
        <w:t xml:space="preserve">На това ниво ще бъде извършена оценка на въздействието </w:t>
      </w:r>
      <w:r w:rsidR="00070EC3">
        <w:rPr>
          <w:rFonts w:ascii="Times New Roman" w:hAnsi="Times New Roman" w:cs="Times New Roman"/>
          <w:i/>
          <w:sz w:val="24"/>
          <w:szCs w:val="24"/>
        </w:rPr>
        <w:t xml:space="preserve">по всяко от измеренията на плана, националните общи и конкретни цели, и предлаганите политики и мерки. </w:t>
      </w:r>
    </w:p>
    <w:p w14:paraId="0EDB1B3C" w14:textId="611EDA2C" w:rsidR="003A7130" w:rsidRPr="00756574" w:rsidRDefault="00625337" w:rsidP="00756574">
      <w:pPr>
        <w:pStyle w:val="Heading3"/>
        <w:shd w:val="clear" w:color="auto" w:fill="F7CAAC" w:themeFill="accent2" w:themeFillTint="66"/>
        <w:spacing w:before="0" w:line="276" w:lineRule="auto"/>
        <w:ind w:left="709"/>
        <w:jc w:val="both"/>
        <w:rPr>
          <w:rFonts w:ascii="Times New Roman" w:hAnsi="Times New Roman" w:cs="Times New Roman"/>
          <w:b/>
          <w:color w:val="auto"/>
        </w:rPr>
      </w:pPr>
      <w:bookmarkStart w:id="42" w:name="_Toc202730019"/>
      <w:r w:rsidRPr="00756574">
        <w:rPr>
          <w:rFonts w:ascii="Times New Roman" w:hAnsi="Times New Roman" w:cs="Times New Roman"/>
          <w:b/>
          <w:color w:val="auto"/>
        </w:rPr>
        <w:t xml:space="preserve">6.2. </w:t>
      </w:r>
      <w:r w:rsidR="003A7130" w:rsidRPr="00756574">
        <w:rPr>
          <w:rFonts w:ascii="Times New Roman" w:hAnsi="Times New Roman" w:cs="Times New Roman"/>
          <w:b/>
          <w:color w:val="auto"/>
        </w:rPr>
        <w:t xml:space="preserve">Въздействие на ниво „идентифицирани </w:t>
      </w:r>
      <w:r w:rsidR="00BA6AF1">
        <w:rPr>
          <w:rFonts w:ascii="Times New Roman" w:hAnsi="Times New Roman" w:cs="Times New Roman"/>
          <w:b/>
          <w:color w:val="auto"/>
        </w:rPr>
        <w:t>групи проекти</w:t>
      </w:r>
      <w:r w:rsidR="003A7130" w:rsidRPr="00756574">
        <w:rPr>
          <w:rFonts w:ascii="Times New Roman" w:hAnsi="Times New Roman" w:cs="Times New Roman"/>
          <w:b/>
          <w:color w:val="auto"/>
        </w:rPr>
        <w:t>“</w:t>
      </w:r>
      <w:bookmarkEnd w:id="42"/>
    </w:p>
    <w:p w14:paraId="22D27AE3" w14:textId="6642C1C3" w:rsidR="00E370FD" w:rsidRPr="00E40AE3" w:rsidRDefault="00CA06AC" w:rsidP="00E40AE3">
      <w:pPr>
        <w:pStyle w:val="ListParagraph"/>
        <w:spacing w:before="120" w:after="120" w:line="276" w:lineRule="auto"/>
        <w:ind w:left="0" w:firstLine="709"/>
        <w:jc w:val="both"/>
        <w:rPr>
          <w:rFonts w:ascii="Times New Roman" w:eastAsia="Calibri" w:hAnsi="Times New Roman" w:cs="Times New Roman"/>
          <w:i/>
          <w:iCs/>
          <w:sz w:val="24"/>
          <w:szCs w:val="24"/>
        </w:rPr>
      </w:pPr>
      <w:r w:rsidRPr="00CA06AC">
        <w:rPr>
          <w:rFonts w:ascii="Times New Roman" w:hAnsi="Times New Roman" w:cs="Times New Roman"/>
          <w:i/>
          <w:sz w:val="24"/>
          <w:szCs w:val="24"/>
        </w:rPr>
        <w:t>Оценката ще бъде извършена в подробност, съответстваща на наличната, предоставена от възложителя, информация за всеки проект,</w:t>
      </w:r>
      <w:r>
        <w:rPr>
          <w:rFonts w:ascii="Times New Roman" w:hAnsi="Times New Roman" w:cs="Times New Roman"/>
          <w:i/>
          <w:sz w:val="24"/>
          <w:szCs w:val="24"/>
        </w:rPr>
        <w:t xml:space="preserve"> съобразно типа на конкретната дейност</w:t>
      </w:r>
      <w:r w:rsidR="00E40AE3">
        <w:rPr>
          <w:rFonts w:ascii="Times New Roman" w:hAnsi="Times New Roman" w:cs="Times New Roman"/>
          <w:i/>
          <w:sz w:val="24"/>
          <w:szCs w:val="24"/>
        </w:rPr>
        <w:t xml:space="preserve"> по съответните измерения</w:t>
      </w:r>
      <w:r>
        <w:rPr>
          <w:rFonts w:ascii="Times New Roman" w:hAnsi="Times New Roman" w:cs="Times New Roman"/>
          <w:i/>
          <w:sz w:val="24"/>
          <w:szCs w:val="24"/>
        </w:rPr>
        <w:t>,</w:t>
      </w:r>
      <w:r w:rsidRPr="00CA06AC">
        <w:rPr>
          <w:rFonts w:ascii="Times New Roman" w:hAnsi="Times New Roman" w:cs="Times New Roman"/>
          <w:i/>
          <w:sz w:val="24"/>
          <w:szCs w:val="24"/>
        </w:rPr>
        <w:t xml:space="preserve"> по компоненти и фактори на околната среда</w:t>
      </w:r>
      <w:r w:rsidR="00E40AE3" w:rsidRPr="00E40AE3">
        <w:rPr>
          <w:rFonts w:ascii="Times New Roman" w:hAnsi="Times New Roman" w:cs="Times New Roman"/>
          <w:i/>
          <w:sz w:val="24"/>
          <w:szCs w:val="24"/>
        </w:rPr>
        <w:t>. Ще се използва матричния подход</w:t>
      </w:r>
      <w:r w:rsidR="003A7130" w:rsidRPr="00E40AE3">
        <w:rPr>
          <w:rFonts w:ascii="Times New Roman" w:eastAsia="Calibri" w:hAnsi="Times New Roman" w:cs="Times New Roman"/>
          <w:i/>
          <w:iCs/>
          <w:sz w:val="24"/>
          <w:szCs w:val="24"/>
        </w:rPr>
        <w:t>:</w:t>
      </w:r>
    </w:p>
    <w:tbl>
      <w:tblPr>
        <w:tblStyle w:val="TableGrid"/>
        <w:tblW w:w="9638" w:type="dxa"/>
        <w:tblInd w:w="-5" w:type="dxa"/>
        <w:tblLook w:val="04A0" w:firstRow="1" w:lastRow="0" w:firstColumn="1" w:lastColumn="0" w:noHBand="0" w:noVBand="1"/>
      </w:tblPr>
      <w:tblGrid>
        <w:gridCol w:w="2536"/>
        <w:gridCol w:w="3842"/>
        <w:gridCol w:w="3260"/>
      </w:tblGrid>
      <w:tr w:rsidR="00E40AE3" w:rsidRPr="00E40AE3" w14:paraId="0FD603A7" w14:textId="77777777" w:rsidTr="00A42B6F">
        <w:tc>
          <w:tcPr>
            <w:tcW w:w="2536" w:type="dxa"/>
            <w:shd w:val="clear" w:color="auto" w:fill="FFFFCC"/>
          </w:tcPr>
          <w:p w14:paraId="7FC10F55" w14:textId="77777777" w:rsidR="00E370FD" w:rsidRPr="00E40AE3" w:rsidRDefault="00E370FD" w:rsidP="00E370FD">
            <w:pPr>
              <w:spacing w:before="120" w:after="120" w:line="276" w:lineRule="auto"/>
              <w:jc w:val="center"/>
              <w:rPr>
                <w:rFonts w:ascii="Times New Roman" w:hAnsi="Times New Roman" w:cs="Times New Roman"/>
                <w:b/>
                <w:bCs/>
                <w:i/>
                <w:sz w:val="24"/>
                <w:szCs w:val="24"/>
              </w:rPr>
            </w:pPr>
            <w:r w:rsidRPr="00E40AE3">
              <w:rPr>
                <w:rFonts w:ascii="Times New Roman" w:hAnsi="Times New Roman" w:cs="Times New Roman"/>
                <w:b/>
                <w:bCs/>
                <w:i/>
                <w:sz w:val="24"/>
                <w:szCs w:val="24"/>
              </w:rPr>
              <w:t>Компоненти и фактори на средата</w:t>
            </w:r>
          </w:p>
        </w:tc>
        <w:tc>
          <w:tcPr>
            <w:tcW w:w="3842" w:type="dxa"/>
            <w:shd w:val="clear" w:color="auto" w:fill="FFFFCC"/>
          </w:tcPr>
          <w:p w14:paraId="2C762AEA" w14:textId="77777777" w:rsidR="00E370FD" w:rsidRPr="00E40AE3" w:rsidRDefault="00E370FD" w:rsidP="00E370FD">
            <w:pPr>
              <w:spacing w:before="120" w:after="120" w:line="276" w:lineRule="auto"/>
              <w:jc w:val="center"/>
              <w:rPr>
                <w:rFonts w:ascii="Times New Roman" w:hAnsi="Times New Roman" w:cs="Times New Roman"/>
                <w:b/>
                <w:bCs/>
                <w:i/>
                <w:sz w:val="24"/>
                <w:szCs w:val="24"/>
              </w:rPr>
            </w:pPr>
            <w:r w:rsidRPr="00E40AE3">
              <w:rPr>
                <w:rFonts w:ascii="Times New Roman" w:hAnsi="Times New Roman" w:cs="Times New Roman"/>
                <w:b/>
                <w:bCs/>
                <w:i/>
                <w:sz w:val="24"/>
                <w:szCs w:val="24"/>
              </w:rPr>
              <w:t>Описание на очакваното въздействие по вид и същност</w:t>
            </w:r>
          </w:p>
        </w:tc>
        <w:tc>
          <w:tcPr>
            <w:tcW w:w="3260" w:type="dxa"/>
            <w:shd w:val="clear" w:color="auto" w:fill="FFFFCC"/>
          </w:tcPr>
          <w:p w14:paraId="4C591060" w14:textId="77777777" w:rsidR="00E370FD" w:rsidRPr="00E40AE3" w:rsidRDefault="00E370FD" w:rsidP="00E370FD">
            <w:pPr>
              <w:spacing w:before="120" w:after="120" w:line="276" w:lineRule="auto"/>
              <w:jc w:val="center"/>
              <w:rPr>
                <w:rFonts w:ascii="Times New Roman" w:hAnsi="Times New Roman" w:cs="Times New Roman"/>
                <w:b/>
                <w:bCs/>
                <w:i/>
                <w:sz w:val="24"/>
                <w:szCs w:val="24"/>
              </w:rPr>
            </w:pPr>
            <w:r w:rsidRPr="00E40AE3">
              <w:rPr>
                <w:rFonts w:ascii="Times New Roman" w:hAnsi="Times New Roman" w:cs="Times New Roman"/>
                <w:b/>
                <w:bCs/>
                <w:i/>
                <w:sz w:val="24"/>
                <w:szCs w:val="24"/>
              </w:rPr>
              <w:t>Оценка на значимостта на въздействието</w:t>
            </w:r>
          </w:p>
        </w:tc>
      </w:tr>
      <w:tr w:rsidR="00E40AE3" w:rsidRPr="00E40AE3" w14:paraId="258C8574" w14:textId="77777777" w:rsidTr="00A42B6F">
        <w:tc>
          <w:tcPr>
            <w:tcW w:w="2536" w:type="dxa"/>
          </w:tcPr>
          <w:p w14:paraId="2056C9CE" w14:textId="77777777" w:rsidR="00E370FD" w:rsidRPr="00E40AE3" w:rsidRDefault="00E370FD" w:rsidP="00D20973">
            <w:pPr>
              <w:spacing w:before="120" w:after="120" w:line="276" w:lineRule="auto"/>
              <w:jc w:val="both"/>
              <w:rPr>
                <w:rFonts w:ascii="Times New Roman" w:hAnsi="Times New Roman" w:cs="Times New Roman"/>
                <w:i/>
                <w:sz w:val="24"/>
                <w:szCs w:val="24"/>
              </w:rPr>
            </w:pPr>
            <w:r w:rsidRPr="00E40AE3">
              <w:rPr>
                <w:rFonts w:ascii="Times New Roman" w:hAnsi="Times New Roman" w:cs="Times New Roman"/>
                <w:i/>
                <w:sz w:val="24"/>
                <w:szCs w:val="24"/>
              </w:rPr>
              <w:t>На отделни редове ще бъдат изброени компонентите и факторите на околната среда</w:t>
            </w:r>
          </w:p>
        </w:tc>
        <w:tc>
          <w:tcPr>
            <w:tcW w:w="3842" w:type="dxa"/>
          </w:tcPr>
          <w:p w14:paraId="3C8896CA" w14:textId="77777777" w:rsidR="00E370FD" w:rsidRPr="00E40AE3" w:rsidRDefault="00E370FD" w:rsidP="00D20973">
            <w:pPr>
              <w:spacing w:before="120" w:after="120" w:line="276" w:lineRule="auto"/>
              <w:jc w:val="both"/>
              <w:rPr>
                <w:rFonts w:ascii="Times New Roman" w:hAnsi="Times New Roman" w:cs="Times New Roman"/>
                <w:i/>
                <w:sz w:val="24"/>
                <w:szCs w:val="24"/>
              </w:rPr>
            </w:pPr>
            <w:r w:rsidRPr="00E40AE3">
              <w:rPr>
                <w:rFonts w:ascii="Times New Roman" w:hAnsi="Times New Roman" w:cs="Times New Roman"/>
                <w:i/>
                <w:sz w:val="24"/>
                <w:szCs w:val="24"/>
              </w:rPr>
              <w:t>Текстово описание на видовете въздействия, които се очакват върху съответния компонент/по отношение на съответния фактор на околната среда</w:t>
            </w:r>
          </w:p>
        </w:tc>
        <w:tc>
          <w:tcPr>
            <w:tcW w:w="3260" w:type="dxa"/>
          </w:tcPr>
          <w:p w14:paraId="5F0D8AA3" w14:textId="77A4B341" w:rsidR="00E370FD" w:rsidRPr="00E40AE3" w:rsidRDefault="00E370FD" w:rsidP="00D20973">
            <w:pPr>
              <w:spacing w:before="120" w:after="120" w:line="276" w:lineRule="auto"/>
              <w:jc w:val="both"/>
              <w:rPr>
                <w:rFonts w:ascii="Times New Roman" w:hAnsi="Times New Roman" w:cs="Times New Roman"/>
                <w:i/>
                <w:sz w:val="24"/>
                <w:szCs w:val="24"/>
              </w:rPr>
            </w:pPr>
            <w:r w:rsidRPr="00E40AE3">
              <w:rPr>
                <w:rFonts w:ascii="Times New Roman" w:hAnsi="Times New Roman" w:cs="Times New Roman"/>
                <w:i/>
                <w:sz w:val="24"/>
                <w:szCs w:val="24"/>
              </w:rPr>
              <w:t xml:space="preserve">Текстово описание и </w:t>
            </w:r>
            <w:r w:rsidR="00BA6AF1">
              <w:rPr>
                <w:rFonts w:ascii="Times New Roman" w:hAnsi="Times New Roman" w:cs="Times New Roman"/>
                <w:i/>
                <w:sz w:val="24"/>
                <w:szCs w:val="24"/>
              </w:rPr>
              <w:t xml:space="preserve">количествено </w:t>
            </w:r>
            <w:r w:rsidRPr="00E40AE3">
              <w:rPr>
                <w:rFonts w:ascii="Times New Roman" w:hAnsi="Times New Roman" w:cs="Times New Roman"/>
                <w:i/>
                <w:sz w:val="24"/>
                <w:szCs w:val="24"/>
              </w:rPr>
              <w:t>степенуване на значимостта на въздействието съгласно легендата за оценка на значимостта на въздействията</w:t>
            </w:r>
            <w:r w:rsidR="00BA6AF1">
              <w:rPr>
                <w:rFonts w:ascii="Times New Roman" w:hAnsi="Times New Roman" w:cs="Times New Roman"/>
                <w:i/>
                <w:sz w:val="24"/>
                <w:szCs w:val="24"/>
              </w:rPr>
              <w:t xml:space="preserve"> по-долу</w:t>
            </w:r>
            <w:r w:rsidR="00A30F6F">
              <w:rPr>
                <w:rFonts w:ascii="Times New Roman" w:hAnsi="Times New Roman" w:cs="Times New Roman"/>
                <w:i/>
                <w:sz w:val="24"/>
                <w:szCs w:val="24"/>
              </w:rPr>
              <w:t>.</w:t>
            </w:r>
          </w:p>
        </w:tc>
      </w:tr>
    </w:tbl>
    <w:p w14:paraId="1AE87EBF" w14:textId="77777777" w:rsidR="00A307E2" w:rsidRPr="00E40AE3" w:rsidRDefault="00A307E2" w:rsidP="00FF6D3D">
      <w:pPr>
        <w:spacing w:line="23" w:lineRule="atLeast"/>
        <w:ind w:firstLine="709"/>
        <w:jc w:val="both"/>
        <w:rPr>
          <w:rFonts w:ascii="Times New Roman" w:hAnsi="Times New Roman" w:cs="Times New Roman"/>
          <w:sz w:val="24"/>
          <w:szCs w:val="24"/>
        </w:rPr>
      </w:pPr>
    </w:p>
    <w:p w14:paraId="6453236D" w14:textId="1BD615D5" w:rsidR="00A307E2" w:rsidRPr="00E40AE3" w:rsidRDefault="00BF543D" w:rsidP="00A67F98">
      <w:pPr>
        <w:pStyle w:val="ListParagraph"/>
        <w:numPr>
          <w:ilvl w:val="0"/>
          <w:numId w:val="6"/>
        </w:numPr>
        <w:spacing w:after="0" w:line="276" w:lineRule="auto"/>
        <w:jc w:val="both"/>
        <w:rPr>
          <w:rFonts w:ascii="Times New Roman" w:eastAsia="Calibri" w:hAnsi="Times New Roman" w:cs="Times New Roman"/>
          <w:i/>
          <w:iCs/>
          <w:sz w:val="24"/>
          <w:szCs w:val="24"/>
        </w:rPr>
      </w:pPr>
      <w:r w:rsidRPr="00E40AE3">
        <w:rPr>
          <w:rFonts w:ascii="Times New Roman" w:eastAsia="Calibri" w:hAnsi="Times New Roman" w:cs="Times New Roman"/>
          <w:i/>
          <w:iCs/>
          <w:sz w:val="24"/>
          <w:szCs w:val="24"/>
        </w:rPr>
        <w:t xml:space="preserve">Под всяка таблица ще бъде направен обобщен извод за въздействието на </w:t>
      </w:r>
      <w:r w:rsidR="00E40AE3" w:rsidRPr="00E40AE3">
        <w:rPr>
          <w:rFonts w:ascii="Times New Roman" w:eastAsia="Calibri" w:hAnsi="Times New Roman" w:cs="Times New Roman"/>
          <w:i/>
          <w:iCs/>
          <w:sz w:val="24"/>
          <w:szCs w:val="24"/>
        </w:rPr>
        <w:t xml:space="preserve">всеки тип </w:t>
      </w:r>
      <w:r w:rsidRPr="00E40AE3">
        <w:rPr>
          <w:rFonts w:ascii="Times New Roman" w:eastAsia="Calibri" w:hAnsi="Times New Roman" w:cs="Times New Roman"/>
          <w:i/>
          <w:iCs/>
          <w:sz w:val="24"/>
          <w:szCs w:val="24"/>
        </w:rPr>
        <w:t xml:space="preserve">проект върху околната среда. </w:t>
      </w:r>
    </w:p>
    <w:p w14:paraId="6482F5B8" w14:textId="77777777" w:rsidR="00FF6D3D" w:rsidRPr="00E40AE3" w:rsidRDefault="00FF6D3D" w:rsidP="00FF6D3D">
      <w:pPr>
        <w:spacing w:line="23" w:lineRule="atLeast"/>
        <w:ind w:firstLine="709"/>
        <w:jc w:val="both"/>
        <w:rPr>
          <w:rFonts w:ascii="Times New Roman" w:hAnsi="Times New Roman" w:cs="Times New Roman"/>
          <w:i/>
          <w:iCs/>
          <w:sz w:val="24"/>
          <w:szCs w:val="24"/>
        </w:rPr>
      </w:pPr>
      <w:r w:rsidRPr="00E40AE3">
        <w:rPr>
          <w:rFonts w:ascii="Times New Roman" w:hAnsi="Times New Roman" w:cs="Times New Roman"/>
          <w:i/>
          <w:iCs/>
          <w:sz w:val="24"/>
          <w:szCs w:val="24"/>
        </w:rPr>
        <w:t>Легенда за определяне на значимостта на въздействието:</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5264"/>
      </w:tblGrid>
      <w:tr w:rsidR="00E40AE3" w:rsidRPr="00E40AE3" w14:paraId="5FE32526" w14:textId="77777777" w:rsidTr="00D20973">
        <w:trPr>
          <w:trHeight w:hRule="exact" w:val="510"/>
        </w:trPr>
        <w:tc>
          <w:tcPr>
            <w:tcW w:w="1456" w:type="dxa"/>
            <w:tcBorders>
              <w:top w:val="single" w:sz="4" w:space="0" w:color="auto"/>
              <w:left w:val="single" w:sz="4" w:space="0" w:color="auto"/>
              <w:bottom w:val="single" w:sz="4" w:space="0" w:color="auto"/>
              <w:right w:val="single" w:sz="4" w:space="0" w:color="auto"/>
            </w:tcBorders>
            <w:shd w:val="clear" w:color="auto" w:fill="FFFFCC"/>
            <w:hideMark/>
          </w:tcPr>
          <w:p w14:paraId="0F198DFB" w14:textId="77777777" w:rsidR="00FF6D3D" w:rsidRPr="00E40AE3" w:rsidRDefault="00FF6D3D" w:rsidP="00D20973">
            <w:pPr>
              <w:jc w:val="center"/>
              <w:rPr>
                <w:rFonts w:ascii="Times New Roman" w:hAnsi="Times New Roman" w:cs="Times New Roman"/>
                <w:b/>
                <w:i/>
                <w:iCs/>
                <w:sz w:val="20"/>
                <w:szCs w:val="20"/>
              </w:rPr>
            </w:pPr>
            <w:r w:rsidRPr="00E40AE3">
              <w:rPr>
                <w:rFonts w:ascii="Times New Roman" w:hAnsi="Times New Roman" w:cs="Times New Roman"/>
                <w:b/>
                <w:i/>
                <w:iCs/>
                <w:sz w:val="20"/>
                <w:szCs w:val="20"/>
              </w:rPr>
              <w:t>Оценка</w:t>
            </w:r>
          </w:p>
        </w:tc>
        <w:tc>
          <w:tcPr>
            <w:tcW w:w="5264" w:type="dxa"/>
            <w:tcBorders>
              <w:top w:val="single" w:sz="4" w:space="0" w:color="auto"/>
              <w:left w:val="single" w:sz="4" w:space="0" w:color="auto"/>
              <w:bottom w:val="single" w:sz="4" w:space="0" w:color="auto"/>
              <w:right w:val="single" w:sz="4" w:space="0" w:color="auto"/>
            </w:tcBorders>
            <w:shd w:val="clear" w:color="auto" w:fill="FFFFCC"/>
            <w:hideMark/>
          </w:tcPr>
          <w:p w14:paraId="62688C81" w14:textId="77777777" w:rsidR="00FF6D3D" w:rsidRPr="00E40AE3" w:rsidRDefault="00FF6D3D" w:rsidP="00D20973">
            <w:pPr>
              <w:jc w:val="center"/>
              <w:rPr>
                <w:rFonts w:ascii="Times New Roman" w:hAnsi="Times New Roman" w:cs="Times New Roman"/>
                <w:b/>
                <w:i/>
                <w:iCs/>
                <w:sz w:val="20"/>
                <w:szCs w:val="20"/>
              </w:rPr>
            </w:pPr>
            <w:r w:rsidRPr="00E40AE3">
              <w:rPr>
                <w:rFonts w:ascii="Times New Roman" w:hAnsi="Times New Roman" w:cs="Times New Roman"/>
                <w:b/>
                <w:i/>
                <w:iCs/>
                <w:sz w:val="20"/>
                <w:szCs w:val="20"/>
              </w:rPr>
              <w:t>Въздействие</w:t>
            </w:r>
          </w:p>
        </w:tc>
      </w:tr>
      <w:tr w:rsidR="00E40AE3" w:rsidRPr="00E40AE3" w14:paraId="648FA8B1" w14:textId="77777777" w:rsidTr="00A307E2">
        <w:trPr>
          <w:trHeight w:hRule="exact" w:val="352"/>
        </w:trPr>
        <w:tc>
          <w:tcPr>
            <w:tcW w:w="1456" w:type="dxa"/>
            <w:tcBorders>
              <w:top w:val="single" w:sz="4" w:space="0" w:color="auto"/>
              <w:left w:val="single" w:sz="4" w:space="0" w:color="auto"/>
              <w:bottom w:val="single" w:sz="4" w:space="0" w:color="auto"/>
              <w:right w:val="single" w:sz="4" w:space="0" w:color="auto"/>
            </w:tcBorders>
            <w:hideMark/>
          </w:tcPr>
          <w:p w14:paraId="28151F6A" w14:textId="77777777" w:rsidR="00FF6D3D" w:rsidRPr="00E40AE3" w:rsidRDefault="00FF6D3D" w:rsidP="00D20973">
            <w:pPr>
              <w:jc w:val="center"/>
              <w:rPr>
                <w:rFonts w:ascii="Times New Roman" w:hAnsi="Times New Roman" w:cs="Times New Roman"/>
                <w:i/>
                <w:iCs/>
                <w:sz w:val="20"/>
                <w:szCs w:val="20"/>
              </w:rPr>
            </w:pPr>
            <w:r w:rsidRPr="00E40AE3">
              <w:rPr>
                <w:rFonts w:ascii="Times New Roman" w:hAnsi="Times New Roman" w:cs="Times New Roman"/>
                <w:i/>
                <w:iCs/>
                <w:sz w:val="20"/>
                <w:szCs w:val="20"/>
              </w:rPr>
              <w:t>++</w:t>
            </w:r>
          </w:p>
        </w:tc>
        <w:tc>
          <w:tcPr>
            <w:tcW w:w="5264" w:type="dxa"/>
            <w:tcBorders>
              <w:top w:val="single" w:sz="4" w:space="0" w:color="auto"/>
              <w:left w:val="single" w:sz="4" w:space="0" w:color="auto"/>
              <w:bottom w:val="single" w:sz="4" w:space="0" w:color="auto"/>
              <w:right w:val="single" w:sz="4" w:space="0" w:color="auto"/>
            </w:tcBorders>
            <w:hideMark/>
          </w:tcPr>
          <w:p w14:paraId="4D62DB9B" w14:textId="77777777" w:rsidR="00FF6D3D" w:rsidRPr="00E40AE3" w:rsidRDefault="00FF6D3D" w:rsidP="00D20973">
            <w:pPr>
              <w:jc w:val="both"/>
              <w:rPr>
                <w:rFonts w:ascii="Times New Roman" w:hAnsi="Times New Roman" w:cs="Times New Roman"/>
                <w:i/>
                <w:iCs/>
                <w:sz w:val="20"/>
                <w:szCs w:val="20"/>
              </w:rPr>
            </w:pPr>
            <w:r w:rsidRPr="00E40AE3">
              <w:rPr>
                <w:rFonts w:ascii="Times New Roman" w:hAnsi="Times New Roman" w:cs="Times New Roman"/>
                <w:i/>
                <w:iCs/>
                <w:sz w:val="20"/>
                <w:szCs w:val="20"/>
              </w:rPr>
              <w:t>Значително положително</w:t>
            </w:r>
          </w:p>
        </w:tc>
      </w:tr>
      <w:tr w:rsidR="00E40AE3" w:rsidRPr="00E40AE3" w14:paraId="38D24A6C" w14:textId="77777777" w:rsidTr="00A307E2">
        <w:trPr>
          <w:trHeight w:hRule="exact" w:val="260"/>
        </w:trPr>
        <w:tc>
          <w:tcPr>
            <w:tcW w:w="1456" w:type="dxa"/>
            <w:tcBorders>
              <w:top w:val="single" w:sz="4" w:space="0" w:color="auto"/>
              <w:left w:val="single" w:sz="4" w:space="0" w:color="auto"/>
              <w:bottom w:val="single" w:sz="4" w:space="0" w:color="auto"/>
              <w:right w:val="single" w:sz="4" w:space="0" w:color="auto"/>
            </w:tcBorders>
            <w:hideMark/>
          </w:tcPr>
          <w:p w14:paraId="764770E7" w14:textId="77777777" w:rsidR="00FF6D3D" w:rsidRPr="00E40AE3" w:rsidRDefault="00FF6D3D" w:rsidP="00D20973">
            <w:pPr>
              <w:jc w:val="center"/>
              <w:rPr>
                <w:rFonts w:ascii="Times New Roman" w:hAnsi="Times New Roman" w:cs="Times New Roman"/>
                <w:i/>
                <w:iCs/>
                <w:sz w:val="20"/>
                <w:szCs w:val="20"/>
              </w:rPr>
            </w:pPr>
            <w:r w:rsidRPr="00E40AE3">
              <w:rPr>
                <w:rFonts w:ascii="Times New Roman" w:hAnsi="Times New Roman" w:cs="Times New Roman"/>
                <w:i/>
                <w:iCs/>
                <w:sz w:val="20"/>
                <w:szCs w:val="20"/>
              </w:rPr>
              <w:t>+</w:t>
            </w:r>
          </w:p>
        </w:tc>
        <w:tc>
          <w:tcPr>
            <w:tcW w:w="5264" w:type="dxa"/>
            <w:tcBorders>
              <w:top w:val="single" w:sz="4" w:space="0" w:color="auto"/>
              <w:left w:val="single" w:sz="4" w:space="0" w:color="auto"/>
              <w:bottom w:val="single" w:sz="4" w:space="0" w:color="auto"/>
              <w:right w:val="single" w:sz="4" w:space="0" w:color="auto"/>
            </w:tcBorders>
            <w:hideMark/>
          </w:tcPr>
          <w:p w14:paraId="2DC34F9F" w14:textId="77777777" w:rsidR="00FF6D3D" w:rsidRPr="00E40AE3" w:rsidRDefault="00FF6D3D" w:rsidP="00D20973">
            <w:pPr>
              <w:jc w:val="both"/>
              <w:rPr>
                <w:rFonts w:ascii="Times New Roman" w:hAnsi="Times New Roman" w:cs="Times New Roman"/>
                <w:i/>
                <w:iCs/>
                <w:sz w:val="20"/>
                <w:szCs w:val="20"/>
              </w:rPr>
            </w:pPr>
            <w:r w:rsidRPr="00E40AE3">
              <w:rPr>
                <w:rFonts w:ascii="Times New Roman" w:hAnsi="Times New Roman" w:cs="Times New Roman"/>
                <w:i/>
                <w:iCs/>
                <w:sz w:val="20"/>
                <w:szCs w:val="20"/>
              </w:rPr>
              <w:t>Незначително положително</w:t>
            </w:r>
          </w:p>
        </w:tc>
      </w:tr>
      <w:tr w:rsidR="00E40AE3" w:rsidRPr="00E40AE3" w14:paraId="5472B2AA" w14:textId="77777777" w:rsidTr="00A307E2">
        <w:trPr>
          <w:trHeight w:hRule="exact" w:val="587"/>
        </w:trPr>
        <w:tc>
          <w:tcPr>
            <w:tcW w:w="1456" w:type="dxa"/>
            <w:tcBorders>
              <w:top w:val="single" w:sz="4" w:space="0" w:color="auto"/>
              <w:left w:val="single" w:sz="4" w:space="0" w:color="auto"/>
              <w:bottom w:val="single" w:sz="4" w:space="0" w:color="auto"/>
              <w:right w:val="single" w:sz="4" w:space="0" w:color="auto"/>
            </w:tcBorders>
            <w:hideMark/>
          </w:tcPr>
          <w:p w14:paraId="767DEBE5" w14:textId="77777777" w:rsidR="00FF6D3D" w:rsidRPr="00E40AE3" w:rsidRDefault="00FF6D3D" w:rsidP="00D20973">
            <w:pPr>
              <w:jc w:val="center"/>
              <w:rPr>
                <w:rFonts w:ascii="Times New Roman" w:hAnsi="Times New Roman" w:cs="Times New Roman"/>
                <w:i/>
                <w:iCs/>
                <w:sz w:val="20"/>
                <w:szCs w:val="20"/>
              </w:rPr>
            </w:pPr>
            <w:r w:rsidRPr="00E40AE3">
              <w:rPr>
                <w:rFonts w:ascii="Times New Roman" w:hAnsi="Times New Roman" w:cs="Times New Roman"/>
                <w:i/>
                <w:iCs/>
                <w:sz w:val="20"/>
                <w:szCs w:val="20"/>
              </w:rPr>
              <w:t>0</w:t>
            </w:r>
          </w:p>
        </w:tc>
        <w:tc>
          <w:tcPr>
            <w:tcW w:w="5264" w:type="dxa"/>
            <w:tcBorders>
              <w:top w:val="single" w:sz="4" w:space="0" w:color="auto"/>
              <w:left w:val="single" w:sz="4" w:space="0" w:color="auto"/>
              <w:bottom w:val="single" w:sz="4" w:space="0" w:color="auto"/>
              <w:right w:val="single" w:sz="4" w:space="0" w:color="auto"/>
            </w:tcBorders>
            <w:hideMark/>
          </w:tcPr>
          <w:p w14:paraId="57CFA827" w14:textId="77777777" w:rsidR="00FF6D3D" w:rsidRPr="00E40AE3" w:rsidRDefault="00FF6D3D" w:rsidP="00D20973">
            <w:pPr>
              <w:jc w:val="both"/>
              <w:rPr>
                <w:rFonts w:ascii="Times New Roman" w:hAnsi="Times New Roman" w:cs="Times New Roman"/>
                <w:i/>
                <w:iCs/>
                <w:sz w:val="20"/>
                <w:szCs w:val="20"/>
              </w:rPr>
            </w:pPr>
            <w:r w:rsidRPr="00E40AE3">
              <w:rPr>
                <w:rFonts w:ascii="Times New Roman" w:hAnsi="Times New Roman" w:cs="Times New Roman"/>
                <w:i/>
                <w:iCs/>
                <w:sz w:val="20"/>
                <w:szCs w:val="20"/>
              </w:rPr>
              <w:t>Неутрално. Без промяна спрямо съществуващото положение</w:t>
            </w:r>
          </w:p>
        </w:tc>
      </w:tr>
      <w:tr w:rsidR="00E40AE3" w:rsidRPr="00E40AE3" w14:paraId="422BB9C5" w14:textId="77777777" w:rsidTr="00A307E2">
        <w:trPr>
          <w:trHeight w:hRule="exact" w:val="261"/>
        </w:trPr>
        <w:tc>
          <w:tcPr>
            <w:tcW w:w="1456" w:type="dxa"/>
            <w:tcBorders>
              <w:top w:val="single" w:sz="4" w:space="0" w:color="auto"/>
              <w:left w:val="single" w:sz="4" w:space="0" w:color="auto"/>
              <w:bottom w:val="single" w:sz="4" w:space="0" w:color="auto"/>
              <w:right w:val="single" w:sz="4" w:space="0" w:color="auto"/>
            </w:tcBorders>
            <w:hideMark/>
          </w:tcPr>
          <w:p w14:paraId="4F3CFD12" w14:textId="77777777" w:rsidR="00FF6D3D" w:rsidRPr="00E40AE3" w:rsidRDefault="00FF6D3D" w:rsidP="00D20973">
            <w:pPr>
              <w:jc w:val="center"/>
              <w:rPr>
                <w:rFonts w:ascii="Times New Roman" w:hAnsi="Times New Roman" w:cs="Times New Roman"/>
                <w:i/>
                <w:iCs/>
                <w:sz w:val="20"/>
                <w:szCs w:val="20"/>
              </w:rPr>
            </w:pPr>
            <w:r w:rsidRPr="00E40AE3">
              <w:rPr>
                <w:rFonts w:ascii="Times New Roman" w:hAnsi="Times New Roman" w:cs="Times New Roman"/>
                <w:i/>
                <w:iCs/>
                <w:sz w:val="20"/>
                <w:szCs w:val="20"/>
              </w:rPr>
              <w:t>-</w:t>
            </w:r>
          </w:p>
        </w:tc>
        <w:tc>
          <w:tcPr>
            <w:tcW w:w="5264" w:type="dxa"/>
            <w:tcBorders>
              <w:top w:val="single" w:sz="4" w:space="0" w:color="auto"/>
              <w:left w:val="single" w:sz="4" w:space="0" w:color="auto"/>
              <w:bottom w:val="single" w:sz="4" w:space="0" w:color="auto"/>
              <w:right w:val="single" w:sz="4" w:space="0" w:color="auto"/>
            </w:tcBorders>
            <w:hideMark/>
          </w:tcPr>
          <w:p w14:paraId="71C58928" w14:textId="77777777" w:rsidR="00FF6D3D" w:rsidRPr="00E40AE3" w:rsidRDefault="00FF6D3D" w:rsidP="00D20973">
            <w:pPr>
              <w:jc w:val="both"/>
              <w:rPr>
                <w:rFonts w:ascii="Times New Roman" w:hAnsi="Times New Roman" w:cs="Times New Roman"/>
                <w:i/>
                <w:iCs/>
                <w:sz w:val="20"/>
                <w:szCs w:val="20"/>
              </w:rPr>
            </w:pPr>
            <w:r w:rsidRPr="00E40AE3">
              <w:rPr>
                <w:rFonts w:ascii="Times New Roman" w:hAnsi="Times New Roman" w:cs="Times New Roman"/>
                <w:i/>
                <w:iCs/>
                <w:sz w:val="20"/>
                <w:szCs w:val="20"/>
              </w:rPr>
              <w:t>Незначително отрицателно</w:t>
            </w:r>
          </w:p>
        </w:tc>
      </w:tr>
      <w:tr w:rsidR="00E40AE3" w:rsidRPr="00E40AE3" w14:paraId="1BCE1717" w14:textId="77777777" w:rsidTr="00A307E2">
        <w:trPr>
          <w:trHeight w:hRule="exact" w:val="311"/>
        </w:trPr>
        <w:tc>
          <w:tcPr>
            <w:tcW w:w="1456" w:type="dxa"/>
            <w:tcBorders>
              <w:top w:val="single" w:sz="4" w:space="0" w:color="auto"/>
              <w:left w:val="single" w:sz="4" w:space="0" w:color="auto"/>
              <w:bottom w:val="single" w:sz="4" w:space="0" w:color="auto"/>
              <w:right w:val="single" w:sz="4" w:space="0" w:color="auto"/>
            </w:tcBorders>
            <w:hideMark/>
          </w:tcPr>
          <w:p w14:paraId="22828652" w14:textId="77777777" w:rsidR="00FF6D3D" w:rsidRPr="00E40AE3" w:rsidRDefault="00FF6D3D" w:rsidP="00D20973">
            <w:pPr>
              <w:jc w:val="center"/>
              <w:rPr>
                <w:rFonts w:ascii="Times New Roman" w:hAnsi="Times New Roman" w:cs="Times New Roman"/>
                <w:i/>
                <w:iCs/>
                <w:sz w:val="20"/>
                <w:szCs w:val="20"/>
              </w:rPr>
            </w:pPr>
            <w:r w:rsidRPr="00E40AE3">
              <w:rPr>
                <w:rFonts w:ascii="Times New Roman" w:hAnsi="Times New Roman" w:cs="Times New Roman"/>
                <w:i/>
                <w:iCs/>
                <w:sz w:val="20"/>
                <w:szCs w:val="20"/>
              </w:rPr>
              <w:t>- -</w:t>
            </w:r>
          </w:p>
        </w:tc>
        <w:tc>
          <w:tcPr>
            <w:tcW w:w="5264" w:type="dxa"/>
            <w:tcBorders>
              <w:top w:val="single" w:sz="4" w:space="0" w:color="auto"/>
              <w:left w:val="single" w:sz="4" w:space="0" w:color="auto"/>
              <w:bottom w:val="single" w:sz="4" w:space="0" w:color="auto"/>
              <w:right w:val="single" w:sz="4" w:space="0" w:color="auto"/>
            </w:tcBorders>
            <w:hideMark/>
          </w:tcPr>
          <w:p w14:paraId="0467C3C5" w14:textId="77777777" w:rsidR="00FF6D3D" w:rsidRPr="00E40AE3" w:rsidRDefault="00FF6D3D" w:rsidP="00D20973">
            <w:pPr>
              <w:jc w:val="both"/>
              <w:rPr>
                <w:rFonts w:ascii="Times New Roman" w:hAnsi="Times New Roman" w:cs="Times New Roman"/>
                <w:i/>
                <w:iCs/>
                <w:sz w:val="20"/>
                <w:szCs w:val="20"/>
              </w:rPr>
            </w:pPr>
            <w:r w:rsidRPr="00E40AE3">
              <w:rPr>
                <w:rFonts w:ascii="Times New Roman" w:hAnsi="Times New Roman" w:cs="Times New Roman"/>
                <w:i/>
                <w:iCs/>
                <w:sz w:val="20"/>
                <w:szCs w:val="20"/>
              </w:rPr>
              <w:t>Значително отрицателно</w:t>
            </w:r>
          </w:p>
        </w:tc>
      </w:tr>
      <w:tr w:rsidR="00E40AE3" w:rsidRPr="00E40AE3" w14:paraId="50D296E0" w14:textId="77777777" w:rsidTr="00A307E2">
        <w:trPr>
          <w:trHeight w:hRule="exact" w:val="788"/>
        </w:trPr>
        <w:tc>
          <w:tcPr>
            <w:tcW w:w="1456" w:type="dxa"/>
            <w:tcBorders>
              <w:top w:val="single" w:sz="4" w:space="0" w:color="auto"/>
              <w:left w:val="single" w:sz="4" w:space="0" w:color="auto"/>
              <w:bottom w:val="single" w:sz="4" w:space="0" w:color="auto"/>
              <w:right w:val="single" w:sz="4" w:space="0" w:color="auto"/>
            </w:tcBorders>
            <w:hideMark/>
          </w:tcPr>
          <w:p w14:paraId="4C587B83" w14:textId="77777777" w:rsidR="00FF6D3D" w:rsidRPr="00E40AE3" w:rsidRDefault="00FF6D3D" w:rsidP="00D20973">
            <w:pPr>
              <w:jc w:val="center"/>
              <w:rPr>
                <w:rFonts w:ascii="Times New Roman" w:hAnsi="Times New Roman" w:cs="Times New Roman"/>
                <w:i/>
                <w:iCs/>
                <w:sz w:val="20"/>
                <w:szCs w:val="20"/>
              </w:rPr>
            </w:pPr>
            <w:r w:rsidRPr="00E40AE3">
              <w:rPr>
                <w:rFonts w:ascii="Times New Roman" w:hAnsi="Times New Roman" w:cs="Times New Roman"/>
                <w:i/>
                <w:iCs/>
                <w:sz w:val="20"/>
                <w:szCs w:val="20"/>
              </w:rPr>
              <w:lastRenderedPageBreak/>
              <w:t>?</w:t>
            </w:r>
          </w:p>
        </w:tc>
        <w:tc>
          <w:tcPr>
            <w:tcW w:w="5264" w:type="dxa"/>
            <w:tcBorders>
              <w:top w:val="single" w:sz="4" w:space="0" w:color="auto"/>
              <w:left w:val="single" w:sz="4" w:space="0" w:color="auto"/>
              <w:bottom w:val="single" w:sz="4" w:space="0" w:color="auto"/>
              <w:right w:val="single" w:sz="4" w:space="0" w:color="auto"/>
            </w:tcBorders>
            <w:hideMark/>
          </w:tcPr>
          <w:p w14:paraId="7987263B" w14:textId="32EBBEA1" w:rsidR="00FF6D3D" w:rsidRPr="00E40AE3" w:rsidRDefault="00FF6D3D" w:rsidP="00D20973">
            <w:pPr>
              <w:jc w:val="both"/>
              <w:rPr>
                <w:rFonts w:ascii="Times New Roman" w:hAnsi="Times New Roman" w:cs="Times New Roman"/>
                <w:i/>
                <w:iCs/>
                <w:sz w:val="20"/>
                <w:szCs w:val="20"/>
              </w:rPr>
            </w:pPr>
            <w:r w:rsidRPr="00E40AE3">
              <w:rPr>
                <w:rFonts w:ascii="Times New Roman" w:hAnsi="Times New Roman" w:cs="Times New Roman"/>
                <w:i/>
                <w:iCs/>
                <w:sz w:val="20"/>
                <w:szCs w:val="20"/>
              </w:rPr>
              <w:t>Неизвестно (</w:t>
            </w:r>
            <w:r w:rsidRPr="00E40AE3">
              <w:rPr>
                <w:rFonts w:ascii="Times New Roman" w:hAnsi="Times New Roman" w:cs="Times New Roman"/>
                <w:bCs/>
                <w:i/>
                <w:iCs/>
                <w:sz w:val="20"/>
                <w:szCs w:val="20"/>
              </w:rPr>
              <w:t xml:space="preserve">въздействие, което на настоящото ниво на подробност на предвижданията на </w:t>
            </w:r>
            <w:r w:rsidR="00BA6AF1">
              <w:rPr>
                <w:rFonts w:ascii="Times New Roman" w:hAnsi="Times New Roman" w:cs="Times New Roman"/>
                <w:bCs/>
                <w:i/>
                <w:iCs/>
                <w:sz w:val="20"/>
                <w:szCs w:val="20"/>
              </w:rPr>
              <w:t>ИПЕК</w:t>
            </w:r>
            <w:r w:rsidR="00BA6AF1" w:rsidRPr="00E40AE3">
              <w:rPr>
                <w:rFonts w:ascii="Times New Roman" w:hAnsi="Times New Roman" w:cs="Times New Roman"/>
                <w:bCs/>
                <w:i/>
                <w:iCs/>
                <w:sz w:val="20"/>
                <w:szCs w:val="20"/>
              </w:rPr>
              <w:t xml:space="preserve"> </w:t>
            </w:r>
            <w:r w:rsidRPr="00E40AE3">
              <w:rPr>
                <w:rFonts w:ascii="Times New Roman" w:hAnsi="Times New Roman" w:cs="Times New Roman"/>
                <w:bCs/>
                <w:i/>
                <w:iCs/>
                <w:sz w:val="20"/>
                <w:szCs w:val="20"/>
              </w:rPr>
              <w:t>не може да бъде оценено – липсват данни, подробност и др.)</w:t>
            </w:r>
          </w:p>
        </w:tc>
      </w:tr>
    </w:tbl>
    <w:p w14:paraId="39F2E984" w14:textId="77777777" w:rsidR="00625337" w:rsidRPr="008E0C78" w:rsidRDefault="00625337" w:rsidP="000078BF">
      <w:pPr>
        <w:spacing w:line="276" w:lineRule="auto"/>
        <w:jc w:val="both"/>
        <w:rPr>
          <w:rFonts w:ascii="Times New Roman" w:hAnsi="Times New Roman" w:cs="Times New Roman"/>
          <w:i/>
          <w:color w:val="FF0000"/>
          <w:sz w:val="24"/>
          <w:szCs w:val="24"/>
        </w:rPr>
      </w:pPr>
    </w:p>
    <w:p w14:paraId="36F53423" w14:textId="00C8BF1D" w:rsidR="003A7130" w:rsidRPr="001830AE" w:rsidRDefault="00625337" w:rsidP="001830AE">
      <w:pPr>
        <w:pStyle w:val="Heading3"/>
        <w:shd w:val="clear" w:color="auto" w:fill="F7CAAC" w:themeFill="accent2" w:themeFillTint="66"/>
        <w:spacing w:before="0" w:line="276" w:lineRule="auto"/>
        <w:ind w:left="709"/>
        <w:jc w:val="both"/>
        <w:rPr>
          <w:rFonts w:ascii="Times New Roman" w:hAnsi="Times New Roman" w:cs="Times New Roman"/>
          <w:b/>
          <w:color w:val="auto"/>
        </w:rPr>
      </w:pPr>
      <w:bookmarkStart w:id="43" w:name="_Toc202730020"/>
      <w:r w:rsidRPr="001830AE">
        <w:rPr>
          <w:rFonts w:ascii="Times New Roman" w:hAnsi="Times New Roman" w:cs="Times New Roman"/>
          <w:b/>
          <w:color w:val="auto"/>
        </w:rPr>
        <w:t xml:space="preserve">6.3. Вероятност от значително въздействие на проекта на </w:t>
      </w:r>
      <w:r w:rsidR="005B5EB3">
        <w:rPr>
          <w:rFonts w:ascii="Times New Roman" w:hAnsi="Times New Roman" w:cs="Times New Roman"/>
          <w:b/>
          <w:color w:val="auto"/>
        </w:rPr>
        <w:t>ИПЕК</w:t>
      </w:r>
      <w:r w:rsidRPr="001830AE">
        <w:rPr>
          <w:rFonts w:ascii="Times New Roman" w:hAnsi="Times New Roman" w:cs="Times New Roman"/>
          <w:b/>
          <w:color w:val="auto"/>
        </w:rPr>
        <w:t xml:space="preserve"> върху околната среда, в т.ч. човешкото здраве, на територията на други държави</w:t>
      </w:r>
      <w:bookmarkEnd w:id="43"/>
    </w:p>
    <w:p w14:paraId="17A5027D" w14:textId="031C2466" w:rsidR="00EB2A2B" w:rsidRPr="001830AE" w:rsidRDefault="00EB2A2B" w:rsidP="001B472A">
      <w:pPr>
        <w:pStyle w:val="ListParagraph"/>
        <w:spacing w:before="120" w:after="120" w:line="276" w:lineRule="auto"/>
        <w:ind w:left="0" w:firstLine="709"/>
        <w:jc w:val="both"/>
        <w:rPr>
          <w:rFonts w:ascii="Times New Roman" w:hAnsi="Times New Roman" w:cs="Times New Roman"/>
          <w:i/>
          <w:sz w:val="24"/>
          <w:szCs w:val="24"/>
        </w:rPr>
      </w:pPr>
      <w:r w:rsidRPr="001830AE">
        <w:rPr>
          <w:rFonts w:ascii="Times New Roman" w:hAnsi="Times New Roman" w:cs="Times New Roman"/>
          <w:i/>
          <w:sz w:val="24"/>
          <w:szCs w:val="24"/>
        </w:rPr>
        <w:t xml:space="preserve">В подточка 6.3 ще се оцени евентуалното трансгранично въздействие на </w:t>
      </w:r>
      <w:r w:rsidR="005B5EB3">
        <w:rPr>
          <w:rFonts w:ascii="Times New Roman" w:hAnsi="Times New Roman" w:cs="Times New Roman"/>
          <w:i/>
          <w:sz w:val="24"/>
          <w:szCs w:val="24"/>
        </w:rPr>
        <w:t>ИПЕК</w:t>
      </w:r>
      <w:r w:rsidR="001830AE" w:rsidRPr="001830AE">
        <w:rPr>
          <w:rFonts w:ascii="Times New Roman" w:hAnsi="Times New Roman" w:cs="Times New Roman"/>
          <w:i/>
          <w:sz w:val="24"/>
          <w:szCs w:val="24"/>
        </w:rPr>
        <w:t xml:space="preserve"> </w:t>
      </w:r>
      <w:r w:rsidRPr="001830AE">
        <w:rPr>
          <w:rFonts w:ascii="Times New Roman" w:hAnsi="Times New Roman" w:cs="Times New Roman"/>
          <w:i/>
          <w:sz w:val="24"/>
          <w:szCs w:val="24"/>
        </w:rPr>
        <w:t>върху околната среда и човешкото здраве на територията на други държави</w:t>
      </w:r>
      <w:r w:rsidR="001B472A" w:rsidRPr="001830AE">
        <w:rPr>
          <w:rFonts w:ascii="Times New Roman" w:hAnsi="Times New Roman" w:cs="Times New Roman"/>
          <w:i/>
          <w:sz w:val="24"/>
          <w:szCs w:val="24"/>
        </w:rPr>
        <w:t>.</w:t>
      </w:r>
    </w:p>
    <w:p w14:paraId="305D3314" w14:textId="77777777" w:rsidR="001B472A" w:rsidRPr="00D266B9" w:rsidRDefault="001B472A" w:rsidP="001B472A">
      <w:pPr>
        <w:pStyle w:val="ListParagraph"/>
        <w:spacing w:before="240" w:after="120" w:line="276" w:lineRule="auto"/>
        <w:ind w:left="0" w:firstLine="709"/>
        <w:jc w:val="both"/>
        <w:rPr>
          <w:rFonts w:ascii="Times New Roman" w:hAnsi="Times New Roman" w:cs="Times New Roman"/>
          <w:iCs/>
          <w:sz w:val="24"/>
          <w:szCs w:val="24"/>
        </w:rPr>
      </w:pPr>
    </w:p>
    <w:p w14:paraId="027D4C8D" w14:textId="2DDBF48A" w:rsidR="001B472A" w:rsidRPr="00D266B9" w:rsidRDefault="001B472A" w:rsidP="001B472A">
      <w:pPr>
        <w:pStyle w:val="ListParagraph"/>
        <w:spacing w:before="240" w:after="120" w:line="276" w:lineRule="auto"/>
        <w:ind w:left="0" w:firstLine="709"/>
        <w:jc w:val="both"/>
        <w:rPr>
          <w:rFonts w:ascii="Times New Roman" w:hAnsi="Times New Roman" w:cs="Times New Roman"/>
          <w:iCs/>
          <w:sz w:val="24"/>
          <w:szCs w:val="24"/>
        </w:rPr>
      </w:pPr>
      <w:r w:rsidRPr="00D266B9">
        <w:rPr>
          <w:rFonts w:ascii="Times New Roman" w:hAnsi="Times New Roman" w:cs="Times New Roman"/>
          <w:iCs/>
          <w:sz w:val="24"/>
          <w:szCs w:val="24"/>
        </w:rPr>
        <w:t>В изпълнение на указанието по т. III.</w:t>
      </w:r>
      <w:r w:rsidR="00D266B9" w:rsidRPr="00D266B9">
        <w:rPr>
          <w:rFonts w:ascii="Times New Roman" w:hAnsi="Times New Roman" w:cs="Times New Roman"/>
          <w:iCs/>
          <w:sz w:val="24"/>
          <w:szCs w:val="24"/>
        </w:rPr>
        <w:t>2 на писмо на МОСВ с изх.№ ЕО-3/15.</w:t>
      </w:r>
      <w:r w:rsidRPr="00D266B9">
        <w:rPr>
          <w:rFonts w:ascii="Times New Roman" w:hAnsi="Times New Roman" w:cs="Times New Roman"/>
          <w:iCs/>
          <w:sz w:val="24"/>
          <w:szCs w:val="24"/>
        </w:rPr>
        <w:t>0</w:t>
      </w:r>
      <w:r w:rsidR="00D266B9" w:rsidRPr="00D266B9">
        <w:rPr>
          <w:rFonts w:ascii="Times New Roman" w:hAnsi="Times New Roman" w:cs="Times New Roman"/>
          <w:iCs/>
          <w:sz w:val="24"/>
          <w:szCs w:val="24"/>
        </w:rPr>
        <w:t>7</w:t>
      </w:r>
      <w:r w:rsidRPr="00D266B9">
        <w:rPr>
          <w:rFonts w:ascii="Times New Roman" w:hAnsi="Times New Roman" w:cs="Times New Roman"/>
          <w:iCs/>
          <w:sz w:val="24"/>
          <w:szCs w:val="24"/>
        </w:rPr>
        <w:t>.202</w:t>
      </w:r>
      <w:r w:rsidR="00D266B9" w:rsidRPr="00D266B9">
        <w:rPr>
          <w:rFonts w:ascii="Times New Roman" w:hAnsi="Times New Roman" w:cs="Times New Roman"/>
          <w:iCs/>
          <w:sz w:val="24"/>
          <w:szCs w:val="24"/>
        </w:rPr>
        <w:t>4</w:t>
      </w:r>
      <w:r w:rsidRPr="00D266B9">
        <w:rPr>
          <w:rFonts w:ascii="Times New Roman" w:hAnsi="Times New Roman" w:cs="Times New Roman"/>
          <w:iCs/>
          <w:sz w:val="24"/>
          <w:szCs w:val="24"/>
        </w:rPr>
        <w:t xml:space="preserve"> г. при изготвяне на заданието за определяне на обхвата и съдържанието на екологичната оценка да бъде разгледана и вероятността при прилагането на </w:t>
      </w:r>
      <w:r w:rsidR="005B5EB3">
        <w:rPr>
          <w:rFonts w:ascii="Times New Roman" w:hAnsi="Times New Roman" w:cs="Times New Roman"/>
          <w:iCs/>
          <w:sz w:val="24"/>
          <w:szCs w:val="24"/>
        </w:rPr>
        <w:t>ИПЕК</w:t>
      </w:r>
      <w:r w:rsidRPr="00D266B9">
        <w:rPr>
          <w:rFonts w:ascii="Times New Roman" w:hAnsi="Times New Roman" w:cs="Times New Roman"/>
          <w:iCs/>
          <w:sz w:val="24"/>
          <w:szCs w:val="24"/>
        </w:rPr>
        <w:t xml:space="preserve"> да се очаква значително въздействие върху околната среда на територията на други държави: </w:t>
      </w:r>
    </w:p>
    <w:p w14:paraId="1BEE7F3D" w14:textId="2E20DD9F" w:rsidR="009D2478" w:rsidRDefault="005B5EB3" w:rsidP="001B472A">
      <w:pPr>
        <w:pStyle w:val="ListParagraph"/>
        <w:spacing w:before="240" w:after="120" w:line="276" w:lineRule="auto"/>
        <w:ind w:left="0" w:firstLine="709"/>
        <w:jc w:val="both"/>
        <w:rPr>
          <w:rFonts w:ascii="Times New Roman" w:hAnsi="Times New Roman" w:cs="Times New Roman"/>
          <w:iCs/>
          <w:sz w:val="24"/>
          <w:szCs w:val="24"/>
        </w:rPr>
      </w:pPr>
      <w:r>
        <w:rPr>
          <w:rFonts w:ascii="Times New Roman" w:hAnsi="Times New Roman" w:cs="Times New Roman"/>
          <w:iCs/>
          <w:sz w:val="24"/>
          <w:szCs w:val="24"/>
        </w:rPr>
        <w:t>ИПЕК</w:t>
      </w:r>
      <w:r w:rsidR="002C7479" w:rsidRPr="00D266B9">
        <w:rPr>
          <w:rFonts w:ascii="Times New Roman" w:hAnsi="Times New Roman" w:cs="Times New Roman"/>
          <w:iCs/>
          <w:sz w:val="24"/>
          <w:szCs w:val="24"/>
        </w:rPr>
        <w:t xml:space="preserve"> се разработва за територията на Република България, като идентифицираните проекти</w:t>
      </w:r>
      <w:r w:rsidR="00BB2793">
        <w:rPr>
          <w:rFonts w:ascii="Times New Roman" w:hAnsi="Times New Roman" w:cs="Times New Roman"/>
          <w:iCs/>
          <w:sz w:val="24"/>
          <w:szCs w:val="24"/>
        </w:rPr>
        <w:t xml:space="preserve"> по типове</w:t>
      </w:r>
      <w:r w:rsidR="002C7479" w:rsidRPr="00D266B9">
        <w:rPr>
          <w:rFonts w:ascii="Times New Roman" w:hAnsi="Times New Roman" w:cs="Times New Roman"/>
          <w:iCs/>
          <w:sz w:val="24"/>
          <w:szCs w:val="24"/>
        </w:rPr>
        <w:t xml:space="preserve"> също ще се изпълняват в рамките на териториалните граници на държавата. </w:t>
      </w:r>
    </w:p>
    <w:p w14:paraId="2793FB9D" w14:textId="77777777" w:rsidR="00A05438" w:rsidRPr="00864D38" w:rsidRDefault="00A05438" w:rsidP="00864D38">
      <w:pPr>
        <w:pStyle w:val="ListParagraph"/>
        <w:spacing w:after="0" w:line="276" w:lineRule="auto"/>
        <w:ind w:left="0" w:firstLine="709"/>
        <w:jc w:val="both"/>
        <w:rPr>
          <w:rFonts w:ascii="Times New Roman" w:hAnsi="Times New Roman" w:cs="Times New Roman"/>
          <w:iCs/>
          <w:sz w:val="24"/>
          <w:szCs w:val="24"/>
        </w:rPr>
      </w:pPr>
    </w:p>
    <w:p w14:paraId="73288635" w14:textId="77777777" w:rsidR="00A05438" w:rsidRPr="00864D38" w:rsidRDefault="00A05438" w:rsidP="004F15F5">
      <w:pPr>
        <w:pStyle w:val="ListParagraph"/>
        <w:numPr>
          <w:ilvl w:val="0"/>
          <w:numId w:val="51"/>
        </w:numPr>
        <w:autoSpaceDE w:val="0"/>
        <w:autoSpaceDN w:val="0"/>
        <w:adjustRightInd w:val="0"/>
        <w:spacing w:after="0" w:line="276" w:lineRule="auto"/>
        <w:jc w:val="both"/>
        <w:rPr>
          <w:rFonts w:ascii="Times New Roman" w:hAnsi="Times New Roman" w:cs="Times New Roman"/>
          <w:color w:val="000000"/>
          <w:sz w:val="24"/>
          <w:szCs w:val="24"/>
        </w:rPr>
      </w:pPr>
      <w:r w:rsidRPr="00864D38">
        <w:rPr>
          <w:rFonts w:ascii="Times New Roman" w:hAnsi="Times New Roman" w:cs="Times New Roman"/>
          <w:b/>
          <w:bCs/>
          <w:color w:val="000000"/>
          <w:sz w:val="24"/>
          <w:szCs w:val="24"/>
        </w:rPr>
        <w:t xml:space="preserve">Пазари на електроенергия </w:t>
      </w:r>
    </w:p>
    <w:p w14:paraId="74B186BA" w14:textId="77777777" w:rsidR="00A05438" w:rsidRPr="00A05438" w:rsidRDefault="00A05438" w:rsidP="00864D3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A05438">
        <w:rPr>
          <w:rFonts w:ascii="Times New Roman" w:hAnsi="Times New Roman" w:cs="Times New Roman"/>
          <w:color w:val="000000"/>
          <w:sz w:val="24"/>
          <w:szCs w:val="24"/>
        </w:rPr>
        <w:t xml:space="preserve">Регламент № 2009/714 и придружаващите го насоки и мрежови кодове предвиждат, че на регионално ниво трябва да се координира пазарно-обусловен и недискриминационен процес на разпределение на трансгранични преносни капацитети. Съвместното бюро за разпределение (Joint Allocation Office) е дружеството за услуги, което подпомага пазарите на трансгранични преносни капацитети, като от 1 октомври 2018 г. то се превърна в Единна платформа за разпределение (Single Allocation Platform-SAP) за всички Европейските оператори на преносни мрежи (TSOs) в съответствие с чл. 59 от Регламент №2016/1719. JAO е собственост на двадесет и пет оператора на преносни системи (ОПС) от 22 държави. </w:t>
      </w:r>
    </w:p>
    <w:p w14:paraId="598A87ED" w14:textId="77777777" w:rsidR="00A05438" w:rsidRPr="00A05438" w:rsidRDefault="00A05438" w:rsidP="00864D3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A05438">
        <w:rPr>
          <w:rFonts w:ascii="Times New Roman" w:hAnsi="Times New Roman" w:cs="Times New Roman"/>
          <w:color w:val="000000"/>
          <w:sz w:val="24"/>
          <w:szCs w:val="24"/>
        </w:rPr>
        <w:t xml:space="preserve">ЕСО ЕАД е собственик на част от капитала на JAO от края на 2019 г., като ползва услугите на компанията за разпределяне на дългосрочни капацитети на границите с Румъния, Гърция и Сърбия. По отношение на краткосрочното разпределение на капацитети, ЕСО използва услугите на JAO за границите с Гърция и Сърбия. Разпределянето на капацитетите във времевия интервал ден напред на границата с Румъния се осъществява от румънския преносен оператор, което ще се промени след въвеждането на пазарното обединение между двете пазарни зони в края на 2020 г. На границата със Северна Македония, както дългосрочните, така и краткосрочните капацитети се разпределят съответно от македонския и българския преносни оператори. По отношение на границата с Турция, разпределението на капацитетите се извършва от всеки от операторите за 50% от договорения капацитет. </w:t>
      </w:r>
    </w:p>
    <w:p w14:paraId="328D80C4" w14:textId="77777777" w:rsidR="00A05438" w:rsidRPr="00A05438" w:rsidRDefault="00A05438" w:rsidP="00864D3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A05438">
        <w:rPr>
          <w:rFonts w:ascii="Times New Roman" w:hAnsi="Times New Roman" w:cs="Times New Roman"/>
          <w:color w:val="000000"/>
          <w:sz w:val="24"/>
          <w:szCs w:val="24"/>
        </w:rPr>
        <w:t xml:space="preserve">От месец януари 2019 г. са въведени дневни експлицитни търгове на българо- сръбската граница, които се провеждат от сръбския преносен оператор, а на границата с </w:t>
      </w:r>
      <w:r w:rsidRPr="00A05438">
        <w:rPr>
          <w:rFonts w:ascii="Times New Roman" w:hAnsi="Times New Roman" w:cs="Times New Roman"/>
          <w:color w:val="000000"/>
          <w:sz w:val="24"/>
          <w:szCs w:val="24"/>
        </w:rPr>
        <w:lastRenderedPageBreak/>
        <w:t xml:space="preserve">Румъния, след стартирането на пазарното обединение във времевия интервал в рамките на деня на 19.11.2019 г., дневните капацитети се разпределят имплицитно. </w:t>
      </w:r>
    </w:p>
    <w:p w14:paraId="7991A7BB" w14:textId="77777777" w:rsidR="00A05438" w:rsidRDefault="00A05438" w:rsidP="00864D38">
      <w:pPr>
        <w:pStyle w:val="Default"/>
        <w:spacing w:line="276" w:lineRule="auto"/>
        <w:ind w:firstLine="709"/>
        <w:jc w:val="both"/>
        <w:rPr>
          <w:lang w:val="bg-BG"/>
        </w:rPr>
      </w:pPr>
      <w:r w:rsidRPr="00864D38">
        <w:t xml:space="preserve">Българската независима енергийна борса, администрира краткосрочните пазарни сегменти ден напред, и в рамките на деня. Премахването на тарифата за износ на електрическа енергия през 2019 г. година беше важна стъпка в посока за </w:t>
      </w:r>
      <w:r w:rsidRPr="00864D38">
        <w:rPr>
          <w:lang w:val="bg-BG"/>
        </w:rPr>
        <w:t xml:space="preserve">осъществяването на предстоящите пазарни обединения на националния пазар със съседните такива. </w:t>
      </w:r>
    </w:p>
    <w:p w14:paraId="63DCAA8A" w14:textId="77777777" w:rsidR="00864D38" w:rsidRPr="00864D38" w:rsidRDefault="00864D38" w:rsidP="00864D38">
      <w:pPr>
        <w:pStyle w:val="Default"/>
        <w:spacing w:line="276" w:lineRule="auto"/>
        <w:ind w:firstLine="709"/>
        <w:jc w:val="both"/>
        <w:rPr>
          <w:lang w:val="bg-BG"/>
        </w:rPr>
      </w:pPr>
    </w:p>
    <w:p w14:paraId="238768D8" w14:textId="77777777" w:rsidR="00A05438" w:rsidRPr="00864D38" w:rsidRDefault="00A05438" w:rsidP="004F15F5">
      <w:pPr>
        <w:pStyle w:val="ListParagraph"/>
        <w:numPr>
          <w:ilvl w:val="0"/>
          <w:numId w:val="51"/>
        </w:numPr>
        <w:autoSpaceDE w:val="0"/>
        <w:autoSpaceDN w:val="0"/>
        <w:adjustRightInd w:val="0"/>
        <w:spacing w:after="0" w:line="276" w:lineRule="auto"/>
        <w:jc w:val="both"/>
        <w:rPr>
          <w:rFonts w:ascii="Times New Roman" w:hAnsi="Times New Roman" w:cs="Times New Roman"/>
          <w:color w:val="000000"/>
          <w:sz w:val="24"/>
          <w:szCs w:val="24"/>
        </w:rPr>
      </w:pPr>
      <w:r w:rsidRPr="00864D38">
        <w:rPr>
          <w:rFonts w:ascii="Times New Roman" w:hAnsi="Times New Roman" w:cs="Times New Roman"/>
          <w:b/>
          <w:bCs/>
          <w:color w:val="000000"/>
          <w:sz w:val="24"/>
          <w:szCs w:val="24"/>
        </w:rPr>
        <w:t xml:space="preserve">Пазари на природен газ </w:t>
      </w:r>
    </w:p>
    <w:p w14:paraId="1CCDF1D9" w14:textId="77777777" w:rsidR="00A05438" w:rsidRPr="00A05438" w:rsidRDefault="00A05438" w:rsidP="00864D3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A05438">
        <w:rPr>
          <w:rFonts w:ascii="Times New Roman" w:hAnsi="Times New Roman" w:cs="Times New Roman"/>
          <w:color w:val="000000"/>
          <w:sz w:val="24"/>
          <w:szCs w:val="24"/>
        </w:rPr>
        <w:t xml:space="preserve">От 01.10.2022 г. в България влиза в експлоатация междусистемната връзка IGB на втория оператор за пренос на природен газ ICGB, с издадена от Комисията за енергийно и водно регулиране (КЕВР) Лицензия № Л-576-06 от 04.11.2021 г. за срок от 35 години. Междусистемната газова връзка IGB осигурява реална диверсификация както на маршрутите, така и на източниците на природен газ за България и целия регион. Като част от развитието на Южния газов коридор, чрез IGB България и съседните ѝ страни имат пряк достъп до алтернативни доставки от Каспийския регион, както и от съществуващи или предвидени за изпълнение терминали за втечнен природен газ (LNG). </w:t>
      </w:r>
    </w:p>
    <w:p w14:paraId="23C3E155" w14:textId="77777777" w:rsidR="00A05438" w:rsidRPr="00A05438" w:rsidRDefault="00A05438" w:rsidP="00864D3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A05438">
        <w:rPr>
          <w:rFonts w:ascii="Times New Roman" w:hAnsi="Times New Roman" w:cs="Times New Roman"/>
          <w:color w:val="000000"/>
          <w:sz w:val="24"/>
          <w:szCs w:val="24"/>
        </w:rPr>
        <w:t xml:space="preserve">Газоразпределението на територията на България се осъществява от частни регионални и локални компании, работещи в условията на лицензионен режим и ценова регулация за дейността разпределение. Дружествата с най-голям пазарен дял в страната са „Овергаз Мрежи” АД, „Ситигаз България” ЕАД и „Аресгаз” АД. </w:t>
      </w:r>
    </w:p>
    <w:p w14:paraId="2CA84901" w14:textId="77777777" w:rsidR="00A05438" w:rsidRPr="00A05438" w:rsidRDefault="00A05438" w:rsidP="00864D3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A05438">
        <w:rPr>
          <w:rFonts w:ascii="Times New Roman" w:hAnsi="Times New Roman" w:cs="Times New Roman"/>
          <w:color w:val="000000"/>
          <w:sz w:val="24"/>
          <w:szCs w:val="24"/>
        </w:rPr>
        <w:t xml:space="preserve">В настоящия момент България има две действащи лицензирани газови борси. Издадените лицензии са за максималния срок от 35 години. Двете газови борси работят с една и съща търговска платформа - Trayport Global Vision Trading System, продукт на компанията TrayportLimited UK, която е разработила най-разпространения и прилаган в световен мащаб софтуер за целите на администриране на сделки. </w:t>
      </w:r>
    </w:p>
    <w:p w14:paraId="4F057E02" w14:textId="77777777" w:rsidR="00A05438" w:rsidRPr="00A05438" w:rsidRDefault="00A05438" w:rsidP="00864D3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A05438">
        <w:rPr>
          <w:rFonts w:ascii="Times New Roman" w:hAnsi="Times New Roman" w:cs="Times New Roman"/>
          <w:color w:val="000000"/>
          <w:sz w:val="24"/>
          <w:szCs w:val="24"/>
        </w:rPr>
        <w:t xml:space="preserve">Създадената през 2019 г. компания „Газов хъб Балкан“ ЕАД (БГХ ЕАД) изгражда, оперира и отговаря за функционирането на организирания пазар за търговия с природен газ на БГХ ЕАД. Електронната платформа със сегмент и за двустранна търговия предлага съвременни физически и финансови продукти, в т.ч. продукти за смяна на собствеността на борсов принцип на виртуална търговска точка (VTP) и на някои от физическите точки на мрежите, предоставени чрез паневропейската платформа PEGAS. </w:t>
      </w:r>
    </w:p>
    <w:p w14:paraId="20BFF9FB" w14:textId="77777777" w:rsidR="00A05438" w:rsidRPr="00A05438" w:rsidRDefault="00A05438" w:rsidP="00864D3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A05438">
        <w:rPr>
          <w:rFonts w:ascii="Times New Roman" w:hAnsi="Times New Roman" w:cs="Times New Roman"/>
          <w:color w:val="000000"/>
          <w:sz w:val="24"/>
          <w:szCs w:val="24"/>
        </w:rPr>
        <w:t xml:space="preserve">Краткосрочният сегмент (спот) на платформата включва стандартизирани продукти „в рамките на ден“, „ден напред“, както и времеви и локални продукти за нуждите на балансиране на мрежата на ОПС. Търговията се осъществява на анонимен принцип според разпоредбите на Регламент (ЕС) № 312/2014. </w:t>
      </w:r>
    </w:p>
    <w:p w14:paraId="7FE5D132" w14:textId="77777777" w:rsidR="00A05438" w:rsidRPr="00A05438" w:rsidRDefault="00A05438" w:rsidP="00864D38">
      <w:pPr>
        <w:autoSpaceDE w:val="0"/>
        <w:autoSpaceDN w:val="0"/>
        <w:adjustRightInd w:val="0"/>
        <w:spacing w:after="0" w:line="276" w:lineRule="auto"/>
        <w:ind w:firstLine="709"/>
        <w:jc w:val="both"/>
        <w:rPr>
          <w:rFonts w:ascii="Times New Roman" w:hAnsi="Times New Roman" w:cs="Times New Roman"/>
          <w:color w:val="000000"/>
          <w:sz w:val="24"/>
          <w:szCs w:val="24"/>
        </w:rPr>
      </w:pPr>
      <w:r w:rsidRPr="00A05438">
        <w:rPr>
          <w:rFonts w:ascii="Times New Roman" w:hAnsi="Times New Roman" w:cs="Times New Roman"/>
          <w:color w:val="000000"/>
          <w:sz w:val="24"/>
          <w:szCs w:val="24"/>
        </w:rPr>
        <w:t xml:space="preserve">Дългосрочният сегмент на платформата за търговия предлага продукти, търгуеми на средносрочна и дългосрочна база - седмични, месечни, тримесечни и годишни. </w:t>
      </w:r>
    </w:p>
    <w:p w14:paraId="2E976227" w14:textId="77777777" w:rsidR="00A05438" w:rsidRPr="00864D38" w:rsidRDefault="00A05438" w:rsidP="00864D38">
      <w:pPr>
        <w:pStyle w:val="ListParagraph"/>
        <w:spacing w:after="0" w:line="276" w:lineRule="auto"/>
        <w:ind w:left="0" w:firstLine="709"/>
        <w:jc w:val="both"/>
        <w:rPr>
          <w:rFonts w:ascii="Times New Roman" w:hAnsi="Times New Roman" w:cs="Times New Roman"/>
          <w:iCs/>
          <w:sz w:val="24"/>
          <w:szCs w:val="24"/>
        </w:rPr>
      </w:pPr>
      <w:r w:rsidRPr="00864D38">
        <w:rPr>
          <w:rFonts w:ascii="Times New Roman" w:hAnsi="Times New Roman" w:cs="Times New Roman"/>
          <w:color w:val="000000"/>
          <w:sz w:val="24"/>
          <w:szCs w:val="24"/>
        </w:rPr>
        <w:t xml:space="preserve">Сегментът за предлагане на количества по програмата за освобождаване на газа (Gas Release Program) към края на 2022 г. приключи своето действие с приетия параграф § 10 от Преходните и заключителните разпоредби на Закона за изменение и допълнение на Закона </w:t>
      </w:r>
      <w:r w:rsidRPr="00864D38">
        <w:rPr>
          <w:rFonts w:ascii="Times New Roman" w:hAnsi="Times New Roman" w:cs="Times New Roman"/>
          <w:color w:val="000000"/>
          <w:sz w:val="24"/>
          <w:szCs w:val="24"/>
        </w:rPr>
        <w:lastRenderedPageBreak/>
        <w:t xml:space="preserve">за корпоративното подоходно облагане (обн. ДВ бр. 99 от 2022 г.), с който са отменени текстовете на чл. 176а, ал. 1, т. 4 и 5 от Закона за енергетиката, съгласно които обществения доставчик бе задължен да предложи на </w:t>
      </w:r>
      <w:r w:rsidR="00864D38" w:rsidRPr="00864D38">
        <w:rPr>
          <w:rFonts w:ascii="Times New Roman" w:hAnsi="Times New Roman" w:cs="Times New Roman"/>
          <w:sz w:val="24"/>
          <w:szCs w:val="24"/>
        </w:rPr>
        <w:t>организирания борсов пазар определени количества природен газ през 2023 г. и 2024 г. Дългосрочният договор на „Булгаргаз“ ЕАД не е действащ, считано от 31.12.2022 г., като доставките по него са преустановени на 27.04.2022 г. Поради прекратените доставки възниква необходимост за „Булгаргаз“ ЕАД да осигури алтернативни източници, както за обезпечаване на дейността си като обществен доставчик, така и по двустранните си договори и количествата по Програмата. Формиралият се недостиг по програмата се компенсира от алтернативни доставчици при пазарни условия. Лицензирани са над 70 търговци, имащи право свободно да търгуват с природен газ на организирания борсов пазар. В този смисъл „Булгаргаз“ ЕАД се конкурира на пазара заедно и наравно с тях за закупуване на природен газ.</w:t>
      </w:r>
    </w:p>
    <w:p w14:paraId="009D36BB" w14:textId="77777777" w:rsidR="00A05438" w:rsidRDefault="00A05438" w:rsidP="00864D38">
      <w:pPr>
        <w:pStyle w:val="ListParagraph"/>
        <w:spacing w:before="240" w:after="120" w:line="276" w:lineRule="auto"/>
        <w:ind w:left="0" w:firstLine="709"/>
        <w:jc w:val="both"/>
        <w:rPr>
          <w:rFonts w:ascii="Times New Roman" w:hAnsi="Times New Roman" w:cs="Times New Roman"/>
          <w:iCs/>
          <w:sz w:val="24"/>
          <w:szCs w:val="24"/>
        </w:rPr>
      </w:pPr>
    </w:p>
    <w:p w14:paraId="2A495F21" w14:textId="55BF08CA" w:rsidR="00625337" w:rsidRPr="00D266B9" w:rsidRDefault="00EB2A2B" w:rsidP="00D266B9">
      <w:pPr>
        <w:pStyle w:val="Heading3"/>
        <w:shd w:val="clear" w:color="auto" w:fill="F7CAAC" w:themeFill="accent2" w:themeFillTint="66"/>
        <w:spacing w:before="0" w:line="276" w:lineRule="auto"/>
        <w:ind w:left="709"/>
        <w:jc w:val="both"/>
        <w:rPr>
          <w:rFonts w:ascii="Times New Roman" w:hAnsi="Times New Roman" w:cs="Times New Roman"/>
          <w:b/>
          <w:color w:val="auto"/>
        </w:rPr>
      </w:pPr>
      <w:bookmarkStart w:id="44" w:name="_Toc202730021"/>
      <w:r w:rsidRPr="00D266B9">
        <w:rPr>
          <w:rFonts w:ascii="Times New Roman" w:hAnsi="Times New Roman" w:cs="Times New Roman"/>
          <w:b/>
          <w:color w:val="auto"/>
        </w:rPr>
        <w:t xml:space="preserve">6.4. Обобщения за въздействието на </w:t>
      </w:r>
      <w:r w:rsidR="005B5EB3">
        <w:rPr>
          <w:rFonts w:ascii="Times New Roman" w:hAnsi="Times New Roman" w:cs="Times New Roman"/>
          <w:b/>
          <w:color w:val="auto"/>
        </w:rPr>
        <w:t>ИПЕК</w:t>
      </w:r>
      <w:r w:rsidRPr="00D266B9">
        <w:rPr>
          <w:rFonts w:ascii="Times New Roman" w:hAnsi="Times New Roman" w:cs="Times New Roman"/>
          <w:b/>
          <w:color w:val="auto"/>
        </w:rPr>
        <w:t>.</w:t>
      </w:r>
      <w:bookmarkEnd w:id="44"/>
      <w:r w:rsidRPr="00D266B9">
        <w:rPr>
          <w:rFonts w:ascii="Times New Roman" w:hAnsi="Times New Roman" w:cs="Times New Roman"/>
          <w:b/>
          <w:color w:val="auto"/>
        </w:rPr>
        <w:t xml:space="preserve"> </w:t>
      </w:r>
    </w:p>
    <w:p w14:paraId="5BD33B7F" w14:textId="175C35F0" w:rsidR="00EB2A2B" w:rsidRPr="00D266B9" w:rsidRDefault="00EB2A2B" w:rsidP="00EB2A2B">
      <w:pPr>
        <w:pStyle w:val="ListParagraph"/>
        <w:spacing w:before="120" w:after="120" w:line="276" w:lineRule="auto"/>
        <w:ind w:left="0" w:firstLine="709"/>
        <w:jc w:val="both"/>
        <w:rPr>
          <w:rFonts w:ascii="Times New Roman" w:hAnsi="Times New Roman" w:cs="Times New Roman"/>
          <w:i/>
          <w:sz w:val="24"/>
          <w:szCs w:val="24"/>
        </w:rPr>
      </w:pPr>
      <w:r w:rsidRPr="00D266B9">
        <w:rPr>
          <w:rFonts w:ascii="Times New Roman" w:hAnsi="Times New Roman" w:cs="Times New Roman"/>
          <w:i/>
          <w:sz w:val="24"/>
          <w:szCs w:val="24"/>
        </w:rPr>
        <w:t xml:space="preserve">Въз основа на анализите и оценките, извършени в подточки 6.1, 6.2 и 6.3 ще бъдат направени обобщения за въздействието на </w:t>
      </w:r>
      <w:r w:rsidR="005B5EB3">
        <w:rPr>
          <w:rFonts w:ascii="Times New Roman" w:hAnsi="Times New Roman" w:cs="Times New Roman"/>
          <w:i/>
          <w:sz w:val="24"/>
          <w:szCs w:val="24"/>
        </w:rPr>
        <w:t>ИПЕК</w:t>
      </w:r>
      <w:r w:rsidRPr="00D266B9">
        <w:rPr>
          <w:rFonts w:ascii="Times New Roman" w:hAnsi="Times New Roman" w:cs="Times New Roman"/>
          <w:i/>
          <w:sz w:val="24"/>
          <w:szCs w:val="24"/>
        </w:rPr>
        <w:t xml:space="preserve"> върху околната среда и здравето на хората.</w:t>
      </w:r>
    </w:p>
    <w:p w14:paraId="519E598E" w14:textId="77777777" w:rsidR="00625337" w:rsidRPr="00D266B9" w:rsidRDefault="00625337" w:rsidP="00A307E2">
      <w:pPr>
        <w:pStyle w:val="ListParagraph"/>
        <w:spacing w:after="0" w:line="276" w:lineRule="auto"/>
        <w:ind w:left="0" w:hanging="11"/>
        <w:jc w:val="both"/>
        <w:rPr>
          <w:rFonts w:ascii="Times New Roman" w:hAnsi="Times New Roman" w:cs="Times New Roman"/>
          <w:i/>
          <w:sz w:val="24"/>
          <w:szCs w:val="24"/>
        </w:rPr>
      </w:pPr>
    </w:p>
    <w:p w14:paraId="42DE79A6" w14:textId="2D9EC783" w:rsidR="00833369" w:rsidRPr="00756574" w:rsidRDefault="007E4F98" w:rsidP="008E413E">
      <w:pPr>
        <w:pStyle w:val="Heading2"/>
        <w:numPr>
          <w:ilvl w:val="0"/>
          <w:numId w:val="8"/>
        </w:numPr>
        <w:shd w:val="clear" w:color="auto" w:fill="E2EFD9" w:themeFill="accent6" w:themeFillTint="33"/>
        <w:spacing w:before="0" w:line="276" w:lineRule="auto"/>
        <w:ind w:left="284"/>
        <w:jc w:val="both"/>
        <w:rPr>
          <w:rFonts w:ascii="Times New Roman" w:hAnsi="Times New Roman" w:cs="Times New Roman"/>
          <w:b/>
          <w:i/>
          <w:color w:val="auto"/>
        </w:rPr>
      </w:pPr>
      <w:bookmarkStart w:id="45" w:name="_Toc202730022"/>
      <w:r w:rsidRPr="00756574">
        <w:rPr>
          <w:rFonts w:ascii="Times New Roman" w:hAnsi="Times New Roman" w:cs="Times New Roman"/>
          <w:b/>
          <w:i/>
          <w:color w:val="auto"/>
        </w:rPr>
        <w:t xml:space="preserve">Мерки, предвидени за предотвратяване, намаляване и възможно най-пълно компенсиране на неблагоприятните последствия от осъществяването на </w:t>
      </w:r>
      <w:r w:rsidR="005B5EB3">
        <w:rPr>
          <w:rFonts w:ascii="Times New Roman" w:hAnsi="Times New Roman" w:cs="Times New Roman"/>
          <w:b/>
          <w:i/>
          <w:color w:val="auto"/>
        </w:rPr>
        <w:t>ИПЕК</w:t>
      </w:r>
      <w:r w:rsidRPr="00756574">
        <w:rPr>
          <w:rFonts w:ascii="Times New Roman" w:hAnsi="Times New Roman" w:cs="Times New Roman"/>
          <w:b/>
          <w:i/>
          <w:color w:val="auto"/>
        </w:rPr>
        <w:t xml:space="preserve"> върху околната среда и човешкото здраве</w:t>
      </w:r>
      <w:bookmarkEnd w:id="45"/>
    </w:p>
    <w:p w14:paraId="6BED9FB5" w14:textId="77777777" w:rsidR="00FC09BA" w:rsidRPr="00756574" w:rsidRDefault="00FC09BA" w:rsidP="001D33CA">
      <w:pPr>
        <w:pStyle w:val="ListParagraph"/>
        <w:spacing w:after="0" w:line="276" w:lineRule="auto"/>
        <w:ind w:left="0" w:firstLine="709"/>
        <w:jc w:val="both"/>
        <w:rPr>
          <w:rFonts w:ascii="Times New Roman" w:hAnsi="Times New Roman" w:cs="Times New Roman"/>
          <w:i/>
          <w:sz w:val="24"/>
          <w:szCs w:val="24"/>
          <w:highlight w:val="yellow"/>
        </w:rPr>
      </w:pPr>
    </w:p>
    <w:p w14:paraId="1614CAC2" w14:textId="6DF6FF0B" w:rsidR="005577C5" w:rsidRPr="00756574" w:rsidRDefault="00FC09BA" w:rsidP="00756574">
      <w:pPr>
        <w:pStyle w:val="ListParagraph"/>
        <w:spacing w:after="0" w:line="276" w:lineRule="auto"/>
        <w:ind w:left="-11" w:firstLine="731"/>
        <w:jc w:val="both"/>
        <w:rPr>
          <w:rFonts w:ascii="Times New Roman" w:hAnsi="Times New Roman" w:cs="Times New Roman"/>
          <w:i/>
          <w:sz w:val="24"/>
          <w:szCs w:val="24"/>
        </w:rPr>
      </w:pPr>
      <w:r w:rsidRPr="00756574">
        <w:rPr>
          <w:rFonts w:ascii="Times New Roman" w:hAnsi="Times New Roman" w:cs="Times New Roman"/>
          <w:i/>
          <w:sz w:val="24"/>
          <w:szCs w:val="24"/>
        </w:rPr>
        <w:t xml:space="preserve">На база на резултатите от извършените в предходната точка анализи и оценки на предполагаемото въздействие върху околната среда и човешкото здраве в резултат на реализирането на </w:t>
      </w:r>
      <w:r w:rsidR="005B5EB3">
        <w:rPr>
          <w:rFonts w:ascii="Times New Roman" w:hAnsi="Times New Roman" w:cs="Times New Roman"/>
          <w:i/>
          <w:sz w:val="24"/>
          <w:szCs w:val="24"/>
        </w:rPr>
        <w:t>ИПЕК</w:t>
      </w:r>
      <w:r w:rsidRPr="00756574">
        <w:rPr>
          <w:rFonts w:ascii="Times New Roman" w:hAnsi="Times New Roman" w:cs="Times New Roman"/>
          <w:i/>
          <w:sz w:val="24"/>
          <w:szCs w:val="24"/>
        </w:rPr>
        <w:t>, ще бъдат предложени мерки за предотвратяване, намаляване и възможно най-пълно компенсиране на неблагоприятните последствия от осъществяването на п</w:t>
      </w:r>
      <w:r w:rsidR="00756574" w:rsidRPr="00756574">
        <w:rPr>
          <w:rFonts w:ascii="Times New Roman" w:hAnsi="Times New Roman" w:cs="Times New Roman"/>
          <w:i/>
          <w:sz w:val="24"/>
          <w:szCs w:val="24"/>
        </w:rPr>
        <w:t>лана</w:t>
      </w:r>
      <w:r w:rsidRPr="00756574">
        <w:rPr>
          <w:rFonts w:ascii="Times New Roman" w:hAnsi="Times New Roman" w:cs="Times New Roman"/>
          <w:i/>
          <w:sz w:val="24"/>
          <w:szCs w:val="24"/>
        </w:rPr>
        <w:t xml:space="preserve"> върху околната среда и човешкото здраве</w:t>
      </w:r>
      <w:r w:rsidR="005577C5" w:rsidRPr="00756574">
        <w:rPr>
          <w:rFonts w:ascii="Times New Roman" w:hAnsi="Times New Roman" w:cs="Times New Roman"/>
          <w:i/>
          <w:sz w:val="24"/>
          <w:szCs w:val="24"/>
        </w:rPr>
        <w:t>.</w:t>
      </w:r>
    </w:p>
    <w:p w14:paraId="36B32C73" w14:textId="77777777" w:rsidR="00FC09BA" w:rsidRPr="00756574" w:rsidRDefault="005577C5" w:rsidP="00756574">
      <w:pPr>
        <w:pStyle w:val="ListParagraph"/>
        <w:spacing w:after="0" w:line="276" w:lineRule="auto"/>
        <w:ind w:left="0"/>
        <w:jc w:val="both"/>
        <w:rPr>
          <w:rFonts w:ascii="Times New Roman" w:hAnsi="Times New Roman" w:cs="Times New Roman"/>
          <w:i/>
          <w:sz w:val="24"/>
          <w:szCs w:val="24"/>
        </w:rPr>
      </w:pPr>
      <w:r w:rsidRPr="00756574">
        <w:rPr>
          <w:rFonts w:ascii="Times New Roman" w:hAnsi="Times New Roman" w:cs="Times New Roman"/>
          <w:i/>
          <w:sz w:val="24"/>
          <w:szCs w:val="24"/>
        </w:rPr>
        <w:tab/>
      </w:r>
      <w:r w:rsidR="00FC09BA" w:rsidRPr="00756574">
        <w:rPr>
          <w:rFonts w:ascii="Times New Roman" w:hAnsi="Times New Roman" w:cs="Times New Roman"/>
          <w:i/>
          <w:sz w:val="24"/>
          <w:szCs w:val="24"/>
        </w:rPr>
        <w:t>Мерките ще бъдат мотивирани, в т.ч. и по отношение на очакваните резултати от прилагането им. Същите ще бъдат представени като:</w:t>
      </w:r>
    </w:p>
    <w:p w14:paraId="12BD058E" w14:textId="77777777" w:rsidR="00FC09BA" w:rsidRPr="00756574" w:rsidRDefault="00FC09BA" w:rsidP="001D33CA">
      <w:pPr>
        <w:pStyle w:val="ListParagraph"/>
        <w:spacing w:after="0" w:line="276" w:lineRule="auto"/>
        <w:ind w:left="0" w:firstLine="567"/>
        <w:jc w:val="both"/>
        <w:rPr>
          <w:rFonts w:ascii="Times New Roman" w:hAnsi="Times New Roman" w:cs="Times New Roman"/>
          <w:i/>
          <w:sz w:val="24"/>
          <w:szCs w:val="24"/>
        </w:rPr>
      </w:pPr>
      <w:r w:rsidRPr="00756574">
        <w:rPr>
          <w:rFonts w:ascii="Times New Roman" w:hAnsi="Times New Roman" w:cs="Times New Roman"/>
          <w:i/>
          <w:sz w:val="24"/>
          <w:szCs w:val="24"/>
        </w:rPr>
        <w:t>-</w:t>
      </w:r>
      <w:r w:rsidRPr="00756574">
        <w:rPr>
          <w:rFonts w:ascii="Times New Roman" w:hAnsi="Times New Roman" w:cs="Times New Roman"/>
          <w:i/>
          <w:sz w:val="24"/>
          <w:szCs w:val="24"/>
        </w:rPr>
        <w:tab/>
        <w:t>мерки за отразяване в окончателния вариант на п</w:t>
      </w:r>
      <w:r w:rsidR="00756574" w:rsidRPr="00756574">
        <w:rPr>
          <w:rFonts w:ascii="Times New Roman" w:hAnsi="Times New Roman" w:cs="Times New Roman"/>
          <w:i/>
          <w:sz w:val="24"/>
          <w:szCs w:val="24"/>
        </w:rPr>
        <w:t>лана</w:t>
      </w:r>
      <w:r w:rsidRPr="00756574">
        <w:rPr>
          <w:rFonts w:ascii="Times New Roman" w:hAnsi="Times New Roman" w:cs="Times New Roman"/>
          <w:i/>
          <w:sz w:val="24"/>
          <w:szCs w:val="24"/>
        </w:rPr>
        <w:t>;</w:t>
      </w:r>
    </w:p>
    <w:p w14:paraId="788AE0E3" w14:textId="77777777" w:rsidR="00FC09BA" w:rsidRPr="00756574" w:rsidRDefault="00FC09BA" w:rsidP="001D33CA">
      <w:pPr>
        <w:pStyle w:val="ListParagraph"/>
        <w:spacing w:after="0" w:line="276" w:lineRule="auto"/>
        <w:ind w:left="0" w:firstLine="567"/>
        <w:jc w:val="both"/>
        <w:rPr>
          <w:rFonts w:ascii="Times New Roman" w:hAnsi="Times New Roman" w:cs="Times New Roman"/>
          <w:i/>
          <w:sz w:val="24"/>
          <w:szCs w:val="24"/>
        </w:rPr>
      </w:pPr>
      <w:r w:rsidRPr="00756574">
        <w:rPr>
          <w:rFonts w:ascii="Times New Roman" w:hAnsi="Times New Roman" w:cs="Times New Roman"/>
          <w:i/>
          <w:sz w:val="24"/>
          <w:szCs w:val="24"/>
        </w:rPr>
        <w:t>-</w:t>
      </w:r>
      <w:r w:rsidRPr="00756574">
        <w:rPr>
          <w:rFonts w:ascii="Times New Roman" w:hAnsi="Times New Roman" w:cs="Times New Roman"/>
          <w:i/>
          <w:sz w:val="24"/>
          <w:szCs w:val="24"/>
        </w:rPr>
        <w:tab/>
        <w:t>мерки за изпълнение при прилагане на п</w:t>
      </w:r>
      <w:r w:rsidR="00756574" w:rsidRPr="00756574">
        <w:rPr>
          <w:rFonts w:ascii="Times New Roman" w:hAnsi="Times New Roman" w:cs="Times New Roman"/>
          <w:i/>
          <w:sz w:val="24"/>
          <w:szCs w:val="24"/>
        </w:rPr>
        <w:t>лана</w:t>
      </w:r>
      <w:r w:rsidRPr="00756574">
        <w:rPr>
          <w:rFonts w:ascii="Times New Roman" w:hAnsi="Times New Roman" w:cs="Times New Roman"/>
          <w:i/>
          <w:sz w:val="24"/>
          <w:szCs w:val="24"/>
        </w:rPr>
        <w:t>.</w:t>
      </w:r>
    </w:p>
    <w:p w14:paraId="02E26F89" w14:textId="77777777" w:rsidR="00FC09BA" w:rsidRPr="00756574" w:rsidRDefault="00FC09BA" w:rsidP="001D33CA">
      <w:pPr>
        <w:pStyle w:val="ListParagraph"/>
        <w:spacing w:after="0" w:line="276" w:lineRule="auto"/>
        <w:ind w:left="0" w:firstLine="709"/>
        <w:jc w:val="both"/>
        <w:rPr>
          <w:rFonts w:ascii="Times New Roman" w:hAnsi="Times New Roman" w:cs="Times New Roman"/>
          <w:i/>
          <w:sz w:val="24"/>
          <w:szCs w:val="24"/>
          <w:highlight w:val="yellow"/>
        </w:rPr>
      </w:pPr>
      <w:r w:rsidRPr="00756574">
        <w:rPr>
          <w:rFonts w:ascii="Times New Roman" w:hAnsi="Times New Roman" w:cs="Times New Roman"/>
          <w:i/>
          <w:sz w:val="24"/>
          <w:szCs w:val="24"/>
        </w:rPr>
        <w:t>При предлагането на мерките ще бъдат съобразени и получените резултати от етапите на провеждане на консултации по време на изготвяне на доклада за ЕО.</w:t>
      </w:r>
    </w:p>
    <w:p w14:paraId="43DD930A" w14:textId="77777777" w:rsidR="008B62FF" w:rsidRPr="00756574" w:rsidRDefault="008B62FF" w:rsidP="001D33CA">
      <w:pPr>
        <w:pStyle w:val="ListParagraph"/>
        <w:spacing w:after="0" w:line="276" w:lineRule="auto"/>
        <w:ind w:left="0" w:firstLine="709"/>
        <w:jc w:val="both"/>
        <w:rPr>
          <w:rFonts w:ascii="Times New Roman" w:hAnsi="Times New Roman" w:cs="Times New Roman"/>
          <w:i/>
          <w:sz w:val="24"/>
          <w:szCs w:val="24"/>
        </w:rPr>
      </w:pPr>
    </w:p>
    <w:p w14:paraId="265ED049" w14:textId="77777777" w:rsidR="007F566B" w:rsidRPr="00756574" w:rsidRDefault="007E4F98" w:rsidP="004F15F5">
      <w:pPr>
        <w:pStyle w:val="Heading2"/>
        <w:numPr>
          <w:ilvl w:val="0"/>
          <w:numId w:val="8"/>
        </w:numPr>
        <w:shd w:val="clear" w:color="auto" w:fill="E2EFD9" w:themeFill="accent6" w:themeFillTint="33"/>
        <w:spacing w:before="0" w:line="276" w:lineRule="auto"/>
        <w:ind w:left="0" w:firstLine="709"/>
        <w:jc w:val="both"/>
        <w:rPr>
          <w:rFonts w:ascii="Times New Roman" w:hAnsi="Times New Roman" w:cs="Times New Roman"/>
          <w:b/>
          <w:i/>
          <w:color w:val="auto"/>
        </w:rPr>
      </w:pPr>
      <w:bookmarkStart w:id="46" w:name="_Toc202730023"/>
      <w:r w:rsidRPr="00756574">
        <w:rPr>
          <w:rFonts w:ascii="Times New Roman" w:hAnsi="Times New Roman" w:cs="Times New Roman"/>
          <w:b/>
          <w:i/>
          <w:color w:val="auto"/>
        </w:rPr>
        <w:t>Мотиви за избор на разгледаните алтернативи</w:t>
      </w:r>
      <w:bookmarkEnd w:id="46"/>
    </w:p>
    <w:p w14:paraId="1E694F59" w14:textId="77777777" w:rsidR="003275E1" w:rsidRPr="00756574" w:rsidRDefault="003275E1" w:rsidP="001D33CA">
      <w:pPr>
        <w:pStyle w:val="ListParagraph"/>
        <w:spacing w:after="0" w:line="276" w:lineRule="auto"/>
        <w:ind w:left="0" w:firstLine="709"/>
        <w:jc w:val="both"/>
        <w:rPr>
          <w:rFonts w:ascii="Times New Roman" w:hAnsi="Times New Roman" w:cs="Times New Roman"/>
          <w:i/>
          <w:sz w:val="24"/>
          <w:szCs w:val="24"/>
        </w:rPr>
      </w:pPr>
    </w:p>
    <w:p w14:paraId="4915C01B" w14:textId="41B58CD1" w:rsidR="003275E1" w:rsidRPr="00756574" w:rsidRDefault="003275E1" w:rsidP="001D33CA">
      <w:pPr>
        <w:spacing w:after="0" w:line="276" w:lineRule="auto"/>
        <w:ind w:firstLine="720"/>
        <w:contextualSpacing/>
        <w:jc w:val="both"/>
        <w:rPr>
          <w:rFonts w:ascii="Times New Roman" w:eastAsia="Calibri" w:hAnsi="Times New Roman" w:cs="Times New Roman"/>
          <w:i/>
          <w:sz w:val="24"/>
          <w:szCs w:val="24"/>
        </w:rPr>
      </w:pPr>
      <w:r w:rsidRPr="00756574">
        <w:rPr>
          <w:rFonts w:ascii="Times New Roman" w:eastAsia="Calibri" w:hAnsi="Times New Roman" w:cs="Times New Roman"/>
          <w:i/>
          <w:sz w:val="24"/>
          <w:szCs w:val="24"/>
        </w:rPr>
        <w:t xml:space="preserve">Предоставеният от Възложителя проект на </w:t>
      </w:r>
      <w:r w:rsidR="005B5EB3">
        <w:rPr>
          <w:rFonts w:ascii="Times New Roman" w:eastAsia="Calibri" w:hAnsi="Times New Roman" w:cs="Times New Roman"/>
          <w:i/>
          <w:sz w:val="24"/>
          <w:szCs w:val="24"/>
        </w:rPr>
        <w:t>ИПЕК</w:t>
      </w:r>
      <w:r w:rsidRPr="00756574">
        <w:rPr>
          <w:rFonts w:ascii="Times New Roman" w:eastAsia="Calibri" w:hAnsi="Times New Roman" w:cs="Times New Roman"/>
          <w:i/>
          <w:sz w:val="24"/>
          <w:szCs w:val="24"/>
        </w:rPr>
        <w:t xml:space="preserve"> не съдържа </w:t>
      </w:r>
      <w:r w:rsidR="00BA6AF1">
        <w:rPr>
          <w:rFonts w:ascii="Times New Roman" w:eastAsia="Calibri" w:hAnsi="Times New Roman" w:cs="Times New Roman"/>
          <w:i/>
          <w:sz w:val="24"/>
          <w:szCs w:val="24"/>
        </w:rPr>
        <w:t xml:space="preserve">изрично разработени </w:t>
      </w:r>
      <w:r w:rsidRPr="00756574">
        <w:rPr>
          <w:rFonts w:ascii="Times New Roman" w:eastAsia="Calibri" w:hAnsi="Times New Roman" w:cs="Times New Roman"/>
          <w:i/>
          <w:sz w:val="24"/>
          <w:szCs w:val="24"/>
        </w:rPr>
        <w:t xml:space="preserve">алтернативи. </w:t>
      </w:r>
    </w:p>
    <w:tbl>
      <w:tblPr>
        <w:tblW w:w="0" w:type="auto"/>
        <w:tblLook w:val="04A0" w:firstRow="1" w:lastRow="0" w:firstColumn="1" w:lastColumn="0" w:noHBand="0" w:noVBand="1"/>
      </w:tblPr>
      <w:tblGrid>
        <w:gridCol w:w="9350"/>
      </w:tblGrid>
      <w:tr w:rsidR="003275E1" w:rsidRPr="008E0C78" w14:paraId="21D5D198" w14:textId="77777777" w:rsidTr="00E01B9A">
        <w:tc>
          <w:tcPr>
            <w:tcW w:w="9350" w:type="dxa"/>
            <w:tcBorders>
              <w:top w:val="nil"/>
              <w:left w:val="nil"/>
              <w:bottom w:val="nil"/>
              <w:right w:val="nil"/>
            </w:tcBorders>
          </w:tcPr>
          <w:p w14:paraId="62779D2E" w14:textId="78FA66DC" w:rsidR="003275E1" w:rsidRPr="00756574" w:rsidRDefault="008E413E" w:rsidP="008E413E">
            <w:pPr>
              <w:spacing w:after="0" w:line="276" w:lineRule="auto"/>
              <w:ind w:left="-108" w:firstLine="720"/>
              <w:contextualSpacing/>
              <w:jc w:val="both"/>
              <w:rPr>
                <w:rFonts w:ascii="Times New Roman" w:eastAsia="Calibri" w:hAnsi="Times New Roman" w:cs="Times New Roman"/>
                <w:i/>
                <w:sz w:val="24"/>
                <w:szCs w:val="24"/>
              </w:rPr>
            </w:pPr>
            <w:r w:rsidRPr="008E413E">
              <w:rPr>
                <w:rFonts w:ascii="Times New Roman" w:eastAsia="Calibri" w:hAnsi="Times New Roman" w:cs="Times New Roman"/>
                <w:i/>
                <w:sz w:val="24"/>
                <w:szCs w:val="24"/>
              </w:rPr>
              <w:lastRenderedPageBreak/>
              <w:t xml:space="preserve">В точката ще бъде направено сравнение </w:t>
            </w:r>
            <w:r w:rsidR="00BA6AF1">
              <w:rPr>
                <w:rFonts w:ascii="Times New Roman" w:eastAsia="Calibri" w:hAnsi="Times New Roman" w:cs="Times New Roman"/>
                <w:i/>
                <w:sz w:val="24"/>
                <w:szCs w:val="24"/>
              </w:rPr>
              <w:t xml:space="preserve">по отношение на влиянието върху околната среда и човешкото здране на </w:t>
            </w:r>
            <w:r w:rsidRPr="008E413E">
              <w:rPr>
                <w:rFonts w:ascii="Times New Roman" w:eastAsia="Calibri" w:hAnsi="Times New Roman" w:cs="Times New Roman"/>
                <w:i/>
                <w:sz w:val="24"/>
                <w:szCs w:val="24"/>
              </w:rPr>
              <w:t>оценявания план и „нулевата алтернатива”.</w:t>
            </w:r>
          </w:p>
        </w:tc>
      </w:tr>
    </w:tbl>
    <w:p w14:paraId="22D66C91" w14:textId="77777777" w:rsidR="00D71F99" w:rsidRPr="00756574" w:rsidRDefault="00D71F99" w:rsidP="001D33CA">
      <w:pPr>
        <w:pStyle w:val="ListParagraph"/>
        <w:spacing w:after="0" w:line="276" w:lineRule="auto"/>
        <w:ind w:left="0" w:firstLine="709"/>
        <w:jc w:val="both"/>
        <w:rPr>
          <w:rFonts w:ascii="Times New Roman" w:hAnsi="Times New Roman" w:cs="Times New Roman"/>
          <w:i/>
          <w:sz w:val="24"/>
          <w:szCs w:val="24"/>
        </w:rPr>
      </w:pPr>
    </w:p>
    <w:p w14:paraId="170FC0EF" w14:textId="77777777" w:rsidR="005D71AF" w:rsidRPr="00756574" w:rsidRDefault="007E4F98" w:rsidP="004F15F5">
      <w:pPr>
        <w:pStyle w:val="Heading2"/>
        <w:numPr>
          <w:ilvl w:val="0"/>
          <w:numId w:val="8"/>
        </w:numPr>
        <w:shd w:val="clear" w:color="auto" w:fill="E2EFD9" w:themeFill="accent6" w:themeFillTint="33"/>
        <w:spacing w:before="0" w:line="276" w:lineRule="auto"/>
        <w:ind w:left="0" w:firstLine="709"/>
        <w:jc w:val="both"/>
        <w:rPr>
          <w:rFonts w:ascii="Times New Roman" w:hAnsi="Times New Roman" w:cs="Times New Roman"/>
          <w:b/>
          <w:i/>
          <w:color w:val="auto"/>
        </w:rPr>
      </w:pPr>
      <w:bookmarkStart w:id="47" w:name="_Toc202730024"/>
      <w:r w:rsidRPr="00756574">
        <w:rPr>
          <w:rFonts w:ascii="Times New Roman" w:hAnsi="Times New Roman" w:cs="Times New Roman"/>
          <w:b/>
          <w:i/>
          <w:color w:val="auto"/>
        </w:rPr>
        <w:t>Методи за извършване на екологичната оценка, използвана нормативна база и документи и трудности при събиране на необходимата за това информация</w:t>
      </w:r>
      <w:bookmarkEnd w:id="47"/>
      <w:r w:rsidRPr="00756574">
        <w:rPr>
          <w:rFonts w:ascii="Times New Roman" w:hAnsi="Times New Roman" w:cs="Times New Roman"/>
          <w:b/>
          <w:i/>
          <w:color w:val="auto"/>
        </w:rPr>
        <w:t xml:space="preserve"> </w:t>
      </w:r>
    </w:p>
    <w:p w14:paraId="52694486" w14:textId="77777777" w:rsidR="00BB515F" w:rsidRPr="00756574" w:rsidRDefault="00BB515F" w:rsidP="001D33CA">
      <w:pPr>
        <w:spacing w:after="0" w:line="276" w:lineRule="auto"/>
        <w:ind w:firstLine="720"/>
        <w:contextualSpacing/>
        <w:jc w:val="both"/>
        <w:rPr>
          <w:rFonts w:ascii="Times New Roman" w:eastAsia="Calibri" w:hAnsi="Times New Roman" w:cs="Times New Roman"/>
          <w:sz w:val="24"/>
          <w:szCs w:val="24"/>
        </w:rPr>
      </w:pPr>
    </w:p>
    <w:p w14:paraId="2B76AF42" w14:textId="77777777" w:rsidR="00BB515F" w:rsidRPr="00756574" w:rsidRDefault="00BB515F" w:rsidP="001D33CA">
      <w:pPr>
        <w:spacing w:after="0" w:line="276" w:lineRule="auto"/>
        <w:ind w:firstLine="720"/>
        <w:contextualSpacing/>
        <w:jc w:val="both"/>
        <w:rPr>
          <w:rFonts w:ascii="Times New Roman" w:eastAsia="Calibri" w:hAnsi="Times New Roman" w:cs="Times New Roman"/>
          <w:i/>
          <w:iCs/>
          <w:sz w:val="24"/>
          <w:szCs w:val="24"/>
        </w:rPr>
      </w:pPr>
      <w:r w:rsidRPr="00756574">
        <w:rPr>
          <w:rFonts w:ascii="Times New Roman" w:eastAsia="Calibri" w:hAnsi="Times New Roman" w:cs="Times New Roman"/>
          <w:i/>
          <w:iCs/>
          <w:sz w:val="24"/>
          <w:szCs w:val="24"/>
        </w:rPr>
        <w:t xml:space="preserve">Основни </w:t>
      </w:r>
      <w:r w:rsidRPr="00756574">
        <w:rPr>
          <w:rFonts w:ascii="Times New Roman" w:eastAsia="Calibri" w:hAnsi="Times New Roman" w:cs="Times New Roman"/>
          <w:b/>
          <w:i/>
          <w:iCs/>
          <w:sz w:val="24"/>
          <w:szCs w:val="24"/>
        </w:rPr>
        <w:t>методически документи</w:t>
      </w:r>
      <w:r w:rsidRPr="00756574">
        <w:rPr>
          <w:rFonts w:ascii="Times New Roman" w:eastAsia="Calibri" w:hAnsi="Times New Roman" w:cs="Times New Roman"/>
          <w:i/>
          <w:iCs/>
          <w:sz w:val="24"/>
          <w:szCs w:val="24"/>
        </w:rPr>
        <w:t>, които ще бъдат ползвани са указания и методики на Европейската комисия за стратегическа екологична оценка, публикувани на интернет страницата на Комисията и на интернет страницата на Министерство на околната среда и водите:</w:t>
      </w:r>
    </w:p>
    <w:p w14:paraId="032E4402" w14:textId="77777777" w:rsidR="00BD2C7B" w:rsidRPr="00756574" w:rsidRDefault="00BB515F" w:rsidP="004F15F5">
      <w:pPr>
        <w:pStyle w:val="ListParagraph"/>
        <w:numPr>
          <w:ilvl w:val="0"/>
          <w:numId w:val="7"/>
        </w:numPr>
        <w:spacing w:after="0" w:line="276" w:lineRule="auto"/>
        <w:ind w:left="993"/>
        <w:jc w:val="both"/>
        <w:rPr>
          <w:rFonts w:ascii="Times New Roman" w:eastAsia="Calibri" w:hAnsi="Times New Roman" w:cs="Times New Roman"/>
          <w:sz w:val="24"/>
          <w:szCs w:val="24"/>
        </w:rPr>
      </w:pPr>
      <w:r w:rsidRPr="00756574">
        <w:rPr>
          <w:rFonts w:ascii="Times New Roman" w:eastAsia="Calibri" w:hAnsi="Times New Roman" w:cs="Times New Roman"/>
          <w:sz w:val="24"/>
          <w:szCs w:val="24"/>
        </w:rPr>
        <w:t>Ръководство за екологична оценка на планове и програми в България, 2002 г.;</w:t>
      </w:r>
    </w:p>
    <w:p w14:paraId="20F3A9B7" w14:textId="77777777" w:rsidR="00BD2C7B" w:rsidRPr="00756574" w:rsidRDefault="00BB515F" w:rsidP="004F15F5">
      <w:pPr>
        <w:pStyle w:val="ListParagraph"/>
        <w:numPr>
          <w:ilvl w:val="0"/>
          <w:numId w:val="7"/>
        </w:numPr>
        <w:spacing w:after="0" w:line="276" w:lineRule="auto"/>
        <w:ind w:left="993"/>
        <w:jc w:val="both"/>
        <w:rPr>
          <w:rFonts w:ascii="Times New Roman" w:eastAsia="Calibri" w:hAnsi="Times New Roman" w:cs="Times New Roman"/>
          <w:sz w:val="24"/>
          <w:szCs w:val="24"/>
        </w:rPr>
      </w:pPr>
      <w:r w:rsidRPr="00756574">
        <w:rPr>
          <w:rFonts w:ascii="Times New Roman" w:eastAsia="Calibri" w:hAnsi="Times New Roman" w:cs="Times New Roman"/>
          <w:sz w:val="24"/>
          <w:szCs w:val="24"/>
        </w:rPr>
        <w:t>Ръководство на Европейската комисия за прилагането на Директива 2001/42/ЕС относно оценката на последиците на някои планове и програми върху околната среда;</w:t>
      </w:r>
    </w:p>
    <w:p w14:paraId="3EC292AC" w14:textId="77777777" w:rsidR="00BD2C7B" w:rsidRPr="00756574" w:rsidRDefault="00BB515F" w:rsidP="004F15F5">
      <w:pPr>
        <w:pStyle w:val="ListParagraph"/>
        <w:numPr>
          <w:ilvl w:val="0"/>
          <w:numId w:val="7"/>
        </w:numPr>
        <w:spacing w:after="0" w:line="276" w:lineRule="auto"/>
        <w:ind w:left="993"/>
        <w:jc w:val="both"/>
        <w:rPr>
          <w:rFonts w:ascii="Times New Roman" w:eastAsia="Calibri" w:hAnsi="Times New Roman" w:cs="Times New Roman"/>
          <w:sz w:val="24"/>
          <w:szCs w:val="24"/>
        </w:rPr>
      </w:pPr>
      <w:r w:rsidRPr="00756574">
        <w:rPr>
          <w:rFonts w:ascii="Times New Roman" w:eastAsia="Calibri" w:hAnsi="Times New Roman" w:cs="Times New Roman"/>
          <w:sz w:val="24"/>
          <w:szCs w:val="24"/>
        </w:rPr>
        <w:t>Ръководство за интегриране на изменението на климата и биоразнообразието в стратегическата екологична оценка (Guidance on Integrating Climate Change and Biodiversity into Strategic Environmental Assessment), 2013 г., публикувано на интернет страницата на Европейската комисия;</w:t>
      </w:r>
    </w:p>
    <w:p w14:paraId="49819C03" w14:textId="77777777" w:rsidR="00BB515F" w:rsidRPr="00756574" w:rsidRDefault="00BB515F" w:rsidP="004F15F5">
      <w:pPr>
        <w:pStyle w:val="ListParagraph"/>
        <w:numPr>
          <w:ilvl w:val="0"/>
          <w:numId w:val="7"/>
        </w:numPr>
        <w:spacing w:after="0" w:line="276" w:lineRule="auto"/>
        <w:ind w:left="993"/>
        <w:jc w:val="both"/>
        <w:rPr>
          <w:rFonts w:ascii="Times New Roman" w:eastAsia="Calibri" w:hAnsi="Times New Roman" w:cs="Times New Roman"/>
          <w:sz w:val="24"/>
          <w:szCs w:val="24"/>
        </w:rPr>
      </w:pPr>
      <w:r w:rsidRPr="00756574">
        <w:rPr>
          <w:rFonts w:ascii="Times New Roman" w:eastAsia="Calibri" w:hAnsi="Times New Roman" w:cs="Times New Roman"/>
          <w:sz w:val="24"/>
          <w:szCs w:val="24"/>
        </w:rPr>
        <w:t>Ресурсно ръководство за подпомагане прилагането на Протокола за стратегическа екологична оценка, 2011 – ИКЕ-ООН.</w:t>
      </w:r>
    </w:p>
    <w:p w14:paraId="0C4AFC87" w14:textId="77777777" w:rsidR="00BD2C7B" w:rsidRPr="00756574" w:rsidRDefault="00BD2C7B" w:rsidP="001D33CA">
      <w:pPr>
        <w:pStyle w:val="ListParagraph"/>
        <w:spacing w:after="0" w:line="276" w:lineRule="auto"/>
        <w:ind w:left="993"/>
        <w:jc w:val="both"/>
        <w:rPr>
          <w:rFonts w:ascii="Times New Roman" w:eastAsia="Calibri" w:hAnsi="Times New Roman" w:cs="Times New Roman"/>
          <w:sz w:val="24"/>
          <w:szCs w:val="24"/>
        </w:rPr>
      </w:pPr>
    </w:p>
    <w:p w14:paraId="33C68DED" w14:textId="77777777" w:rsidR="00BB515F" w:rsidRPr="00756574" w:rsidRDefault="00BB515F" w:rsidP="001D33CA">
      <w:pPr>
        <w:spacing w:after="0" w:line="276" w:lineRule="auto"/>
        <w:ind w:firstLine="720"/>
        <w:contextualSpacing/>
        <w:jc w:val="both"/>
        <w:rPr>
          <w:rFonts w:ascii="Times New Roman" w:eastAsia="Calibri" w:hAnsi="Times New Roman" w:cs="Times New Roman"/>
          <w:i/>
          <w:iCs/>
          <w:sz w:val="24"/>
          <w:szCs w:val="24"/>
        </w:rPr>
      </w:pPr>
      <w:r w:rsidRPr="00756574">
        <w:rPr>
          <w:rFonts w:ascii="Times New Roman" w:eastAsia="Calibri" w:hAnsi="Times New Roman" w:cs="Times New Roman"/>
          <w:i/>
          <w:iCs/>
          <w:sz w:val="24"/>
          <w:szCs w:val="24"/>
        </w:rPr>
        <w:t xml:space="preserve">Основни </w:t>
      </w:r>
      <w:r w:rsidRPr="00756574">
        <w:rPr>
          <w:rFonts w:ascii="Times New Roman" w:eastAsia="Calibri" w:hAnsi="Times New Roman" w:cs="Times New Roman"/>
          <w:b/>
          <w:i/>
          <w:iCs/>
          <w:sz w:val="24"/>
          <w:szCs w:val="24"/>
        </w:rPr>
        <w:t>нормативни актове</w:t>
      </w:r>
      <w:r w:rsidRPr="00756574">
        <w:rPr>
          <w:rFonts w:ascii="Times New Roman" w:eastAsia="Calibri" w:hAnsi="Times New Roman" w:cs="Times New Roman"/>
          <w:i/>
          <w:iCs/>
          <w:sz w:val="24"/>
          <w:szCs w:val="24"/>
        </w:rPr>
        <w:t>, които ще бъдат съобразени при изготвяне на доклада за ЕО са:</w:t>
      </w:r>
    </w:p>
    <w:p w14:paraId="633F907E" w14:textId="77777777" w:rsidR="00BB515F" w:rsidRPr="00756574" w:rsidRDefault="00BB515F" w:rsidP="001D33CA">
      <w:pPr>
        <w:numPr>
          <w:ilvl w:val="0"/>
          <w:numId w:val="3"/>
        </w:numPr>
        <w:spacing w:after="0" w:line="276" w:lineRule="auto"/>
        <w:ind w:left="0" w:firstLine="720"/>
        <w:contextualSpacing/>
        <w:jc w:val="both"/>
        <w:rPr>
          <w:rFonts w:ascii="Times New Roman" w:eastAsia="Calibri" w:hAnsi="Times New Roman" w:cs="Times New Roman"/>
          <w:sz w:val="24"/>
          <w:szCs w:val="24"/>
        </w:rPr>
      </w:pPr>
      <w:r w:rsidRPr="00756574">
        <w:rPr>
          <w:rFonts w:ascii="Times New Roman" w:eastAsia="Calibri" w:hAnsi="Times New Roman" w:cs="Times New Roman"/>
          <w:sz w:val="24"/>
          <w:szCs w:val="24"/>
        </w:rPr>
        <w:t>Закон за опазване на околната среда;</w:t>
      </w:r>
    </w:p>
    <w:p w14:paraId="189711FC" w14:textId="77777777" w:rsidR="00BB515F" w:rsidRPr="00756574" w:rsidRDefault="00BB515F" w:rsidP="001D33CA">
      <w:pPr>
        <w:numPr>
          <w:ilvl w:val="0"/>
          <w:numId w:val="3"/>
        </w:numPr>
        <w:spacing w:after="0" w:line="276" w:lineRule="auto"/>
        <w:ind w:left="0" w:firstLine="720"/>
        <w:contextualSpacing/>
        <w:jc w:val="both"/>
        <w:rPr>
          <w:rFonts w:ascii="Times New Roman" w:eastAsia="Calibri" w:hAnsi="Times New Roman" w:cs="Times New Roman"/>
          <w:sz w:val="24"/>
          <w:szCs w:val="24"/>
        </w:rPr>
      </w:pPr>
      <w:r w:rsidRPr="00756574">
        <w:rPr>
          <w:rFonts w:ascii="Times New Roman" w:eastAsia="Calibri" w:hAnsi="Times New Roman" w:cs="Times New Roman"/>
          <w:sz w:val="24"/>
          <w:szCs w:val="24"/>
        </w:rPr>
        <w:t>Закон за биологичното разнообразие;</w:t>
      </w:r>
    </w:p>
    <w:p w14:paraId="7699ACB6" w14:textId="77777777" w:rsidR="00BB515F" w:rsidRPr="00756574" w:rsidRDefault="00BB515F" w:rsidP="001D33CA">
      <w:pPr>
        <w:numPr>
          <w:ilvl w:val="0"/>
          <w:numId w:val="3"/>
        </w:numPr>
        <w:spacing w:after="0" w:line="276" w:lineRule="auto"/>
        <w:ind w:left="0" w:firstLine="720"/>
        <w:contextualSpacing/>
        <w:jc w:val="both"/>
        <w:rPr>
          <w:rFonts w:ascii="Times New Roman" w:eastAsia="Calibri" w:hAnsi="Times New Roman" w:cs="Times New Roman"/>
          <w:sz w:val="24"/>
          <w:szCs w:val="24"/>
        </w:rPr>
      </w:pPr>
      <w:r w:rsidRPr="00756574">
        <w:rPr>
          <w:rFonts w:ascii="Times New Roman" w:eastAsia="Calibri" w:hAnsi="Times New Roman" w:cs="Times New Roman"/>
          <w:sz w:val="24"/>
          <w:szCs w:val="24"/>
        </w:rPr>
        <w:t>Закон за управление на отпадъците;</w:t>
      </w:r>
    </w:p>
    <w:p w14:paraId="0083BCDB" w14:textId="77777777" w:rsidR="00BB515F" w:rsidRPr="00756574" w:rsidRDefault="00BB515F" w:rsidP="001D33CA">
      <w:pPr>
        <w:numPr>
          <w:ilvl w:val="0"/>
          <w:numId w:val="3"/>
        </w:numPr>
        <w:spacing w:after="0" w:line="276" w:lineRule="auto"/>
        <w:ind w:left="0" w:firstLine="720"/>
        <w:contextualSpacing/>
        <w:jc w:val="both"/>
        <w:rPr>
          <w:rFonts w:ascii="Times New Roman" w:eastAsia="Calibri" w:hAnsi="Times New Roman" w:cs="Times New Roman"/>
          <w:sz w:val="24"/>
          <w:szCs w:val="24"/>
        </w:rPr>
      </w:pPr>
      <w:r w:rsidRPr="00756574">
        <w:rPr>
          <w:rFonts w:ascii="Times New Roman" w:eastAsia="Calibri" w:hAnsi="Times New Roman" w:cs="Times New Roman"/>
          <w:sz w:val="24"/>
          <w:szCs w:val="24"/>
        </w:rPr>
        <w:t>Закон за чистотата на атмосферния въздух;</w:t>
      </w:r>
    </w:p>
    <w:p w14:paraId="58F0BF0D" w14:textId="77777777" w:rsidR="00BB515F" w:rsidRPr="00756574" w:rsidRDefault="00BB515F" w:rsidP="001D33CA">
      <w:pPr>
        <w:numPr>
          <w:ilvl w:val="0"/>
          <w:numId w:val="3"/>
        </w:numPr>
        <w:spacing w:after="0" w:line="276" w:lineRule="auto"/>
        <w:ind w:left="0" w:firstLine="720"/>
        <w:contextualSpacing/>
        <w:jc w:val="both"/>
        <w:rPr>
          <w:rFonts w:ascii="Times New Roman" w:eastAsia="Calibri" w:hAnsi="Times New Roman" w:cs="Times New Roman"/>
          <w:sz w:val="24"/>
          <w:szCs w:val="24"/>
        </w:rPr>
      </w:pPr>
      <w:r w:rsidRPr="00756574">
        <w:rPr>
          <w:rFonts w:ascii="Times New Roman" w:eastAsia="Calibri" w:hAnsi="Times New Roman" w:cs="Times New Roman"/>
          <w:sz w:val="24"/>
          <w:szCs w:val="24"/>
        </w:rPr>
        <w:t>Закон за ограничаване изменението на климата;</w:t>
      </w:r>
    </w:p>
    <w:p w14:paraId="26DE36FC" w14:textId="77777777" w:rsidR="00BB515F" w:rsidRPr="00756574" w:rsidRDefault="00BB515F" w:rsidP="001D33CA">
      <w:pPr>
        <w:numPr>
          <w:ilvl w:val="0"/>
          <w:numId w:val="3"/>
        </w:numPr>
        <w:spacing w:after="0" w:line="276" w:lineRule="auto"/>
        <w:ind w:left="0" w:firstLine="720"/>
        <w:contextualSpacing/>
        <w:jc w:val="both"/>
        <w:rPr>
          <w:rFonts w:ascii="Times New Roman" w:eastAsia="Calibri" w:hAnsi="Times New Roman" w:cs="Times New Roman"/>
          <w:sz w:val="24"/>
          <w:szCs w:val="24"/>
        </w:rPr>
      </w:pPr>
      <w:r w:rsidRPr="00756574">
        <w:rPr>
          <w:rFonts w:ascii="Times New Roman" w:eastAsia="Calibri" w:hAnsi="Times New Roman" w:cs="Times New Roman"/>
          <w:sz w:val="24"/>
          <w:szCs w:val="24"/>
        </w:rPr>
        <w:t>Закон за водите;</w:t>
      </w:r>
    </w:p>
    <w:p w14:paraId="35F017A5" w14:textId="77777777" w:rsidR="00BB515F" w:rsidRPr="00756574" w:rsidRDefault="00BB515F" w:rsidP="001D33CA">
      <w:pPr>
        <w:numPr>
          <w:ilvl w:val="0"/>
          <w:numId w:val="3"/>
        </w:numPr>
        <w:spacing w:after="0" w:line="276" w:lineRule="auto"/>
        <w:ind w:left="0" w:firstLine="720"/>
        <w:contextualSpacing/>
        <w:jc w:val="both"/>
        <w:rPr>
          <w:rFonts w:ascii="Times New Roman" w:eastAsia="Calibri" w:hAnsi="Times New Roman" w:cs="Times New Roman"/>
          <w:sz w:val="24"/>
          <w:szCs w:val="24"/>
        </w:rPr>
      </w:pPr>
      <w:r w:rsidRPr="00756574">
        <w:rPr>
          <w:rFonts w:ascii="Times New Roman" w:eastAsia="Calibri" w:hAnsi="Times New Roman" w:cs="Times New Roman"/>
          <w:sz w:val="24"/>
          <w:szCs w:val="24"/>
        </w:rPr>
        <w:t>Закон за защита на растенията;</w:t>
      </w:r>
    </w:p>
    <w:p w14:paraId="56C7F453" w14:textId="77777777" w:rsidR="00BB515F" w:rsidRPr="00756574" w:rsidRDefault="00BB515F" w:rsidP="001D33CA">
      <w:pPr>
        <w:numPr>
          <w:ilvl w:val="0"/>
          <w:numId w:val="3"/>
        </w:numPr>
        <w:spacing w:after="0" w:line="276" w:lineRule="auto"/>
        <w:ind w:left="0" w:firstLine="720"/>
        <w:contextualSpacing/>
        <w:jc w:val="both"/>
        <w:rPr>
          <w:rFonts w:ascii="Times New Roman" w:eastAsia="Calibri" w:hAnsi="Times New Roman" w:cs="Times New Roman"/>
          <w:sz w:val="24"/>
          <w:szCs w:val="24"/>
        </w:rPr>
      </w:pPr>
      <w:r w:rsidRPr="00756574">
        <w:rPr>
          <w:rFonts w:ascii="Times New Roman" w:eastAsia="Calibri" w:hAnsi="Times New Roman" w:cs="Times New Roman"/>
          <w:sz w:val="24"/>
          <w:szCs w:val="24"/>
        </w:rPr>
        <w:t>Закон за почвите;</w:t>
      </w:r>
    </w:p>
    <w:p w14:paraId="4FF4F6C2" w14:textId="77777777" w:rsidR="00BB515F" w:rsidRPr="00756574" w:rsidRDefault="00BB515F" w:rsidP="001D33CA">
      <w:pPr>
        <w:numPr>
          <w:ilvl w:val="0"/>
          <w:numId w:val="3"/>
        </w:numPr>
        <w:spacing w:after="0" w:line="276" w:lineRule="auto"/>
        <w:ind w:left="0" w:firstLine="720"/>
        <w:contextualSpacing/>
        <w:jc w:val="both"/>
        <w:rPr>
          <w:rFonts w:ascii="Times New Roman" w:eastAsia="Calibri" w:hAnsi="Times New Roman" w:cs="Times New Roman"/>
          <w:sz w:val="24"/>
          <w:szCs w:val="24"/>
        </w:rPr>
      </w:pPr>
      <w:r w:rsidRPr="00756574">
        <w:rPr>
          <w:rFonts w:ascii="Times New Roman" w:eastAsia="Calibri" w:hAnsi="Times New Roman" w:cs="Times New Roman"/>
          <w:sz w:val="24"/>
          <w:szCs w:val="24"/>
        </w:rPr>
        <w:t>Закон за защита от шума в околната среда;</w:t>
      </w:r>
    </w:p>
    <w:p w14:paraId="03AB4BD1" w14:textId="77777777" w:rsidR="00BB515F" w:rsidRPr="00756574" w:rsidRDefault="00BB515F" w:rsidP="001D33CA">
      <w:pPr>
        <w:numPr>
          <w:ilvl w:val="0"/>
          <w:numId w:val="3"/>
        </w:numPr>
        <w:spacing w:after="0" w:line="276" w:lineRule="auto"/>
        <w:ind w:left="0" w:firstLine="720"/>
        <w:contextualSpacing/>
        <w:jc w:val="both"/>
        <w:rPr>
          <w:rFonts w:ascii="Times New Roman" w:eastAsia="Calibri" w:hAnsi="Times New Roman" w:cs="Times New Roman"/>
          <w:sz w:val="24"/>
          <w:szCs w:val="24"/>
        </w:rPr>
      </w:pPr>
      <w:r w:rsidRPr="00756574">
        <w:rPr>
          <w:rFonts w:ascii="Times New Roman" w:eastAsia="Calibri" w:hAnsi="Times New Roman" w:cs="Times New Roman"/>
          <w:sz w:val="24"/>
          <w:szCs w:val="24"/>
        </w:rPr>
        <w:t>Закон за защитените територии;</w:t>
      </w:r>
    </w:p>
    <w:p w14:paraId="5D885482" w14:textId="77777777" w:rsidR="00BB515F" w:rsidRPr="00756574" w:rsidRDefault="00BB515F" w:rsidP="001D33CA">
      <w:pPr>
        <w:numPr>
          <w:ilvl w:val="0"/>
          <w:numId w:val="3"/>
        </w:numPr>
        <w:spacing w:after="0" w:line="276" w:lineRule="auto"/>
        <w:ind w:left="0" w:firstLine="720"/>
        <w:contextualSpacing/>
        <w:jc w:val="both"/>
        <w:rPr>
          <w:rFonts w:ascii="Times New Roman" w:eastAsia="Calibri" w:hAnsi="Times New Roman" w:cs="Times New Roman"/>
          <w:sz w:val="24"/>
          <w:szCs w:val="24"/>
        </w:rPr>
      </w:pPr>
      <w:r w:rsidRPr="00756574">
        <w:rPr>
          <w:rFonts w:ascii="Times New Roman" w:eastAsia="Calibri" w:hAnsi="Times New Roman" w:cs="Times New Roman"/>
          <w:sz w:val="24"/>
          <w:szCs w:val="24"/>
        </w:rPr>
        <w:t>Закон за опазване на земеделските земи и Правилник за прилагането му;</w:t>
      </w:r>
    </w:p>
    <w:p w14:paraId="521EF949" w14:textId="77777777" w:rsidR="00BB515F" w:rsidRPr="00756574" w:rsidRDefault="00BB515F" w:rsidP="001D33CA">
      <w:pPr>
        <w:numPr>
          <w:ilvl w:val="0"/>
          <w:numId w:val="3"/>
        </w:numPr>
        <w:spacing w:after="0" w:line="276" w:lineRule="auto"/>
        <w:ind w:left="0" w:firstLine="720"/>
        <w:contextualSpacing/>
        <w:jc w:val="both"/>
        <w:rPr>
          <w:rFonts w:ascii="Times New Roman" w:eastAsia="Calibri" w:hAnsi="Times New Roman" w:cs="Times New Roman"/>
          <w:sz w:val="24"/>
          <w:szCs w:val="24"/>
        </w:rPr>
      </w:pPr>
      <w:r w:rsidRPr="00756574">
        <w:rPr>
          <w:rFonts w:ascii="Times New Roman" w:eastAsia="Calibri" w:hAnsi="Times New Roman" w:cs="Times New Roman"/>
          <w:sz w:val="24"/>
          <w:szCs w:val="24"/>
        </w:rPr>
        <w:t>Закон за културното наследство;</w:t>
      </w:r>
    </w:p>
    <w:p w14:paraId="094E3B3E" w14:textId="77777777" w:rsidR="00BB515F" w:rsidRPr="00756574" w:rsidRDefault="00BB515F" w:rsidP="001D33CA">
      <w:pPr>
        <w:numPr>
          <w:ilvl w:val="0"/>
          <w:numId w:val="3"/>
        </w:numPr>
        <w:spacing w:after="0" w:line="276" w:lineRule="auto"/>
        <w:ind w:left="0" w:firstLine="720"/>
        <w:contextualSpacing/>
        <w:jc w:val="both"/>
        <w:rPr>
          <w:rFonts w:ascii="Times New Roman" w:eastAsia="Calibri" w:hAnsi="Times New Roman" w:cs="Times New Roman"/>
          <w:sz w:val="24"/>
          <w:szCs w:val="24"/>
        </w:rPr>
      </w:pPr>
      <w:r w:rsidRPr="00756574">
        <w:rPr>
          <w:rFonts w:ascii="Times New Roman" w:eastAsia="Calibri" w:hAnsi="Times New Roman" w:cs="Times New Roman"/>
          <w:sz w:val="24"/>
          <w:szCs w:val="24"/>
        </w:rPr>
        <w:t>Закон за защита при бедствия;</w:t>
      </w:r>
    </w:p>
    <w:p w14:paraId="19436536" w14:textId="77777777" w:rsidR="00BB515F" w:rsidRPr="00756574" w:rsidRDefault="00BB515F" w:rsidP="001D33CA">
      <w:pPr>
        <w:numPr>
          <w:ilvl w:val="0"/>
          <w:numId w:val="3"/>
        </w:numPr>
        <w:spacing w:after="0" w:line="276" w:lineRule="auto"/>
        <w:ind w:left="0" w:firstLine="720"/>
        <w:contextualSpacing/>
        <w:jc w:val="both"/>
        <w:rPr>
          <w:rFonts w:ascii="Times New Roman" w:eastAsia="Calibri" w:hAnsi="Times New Roman" w:cs="Times New Roman"/>
          <w:sz w:val="24"/>
          <w:szCs w:val="24"/>
        </w:rPr>
      </w:pPr>
      <w:r w:rsidRPr="00756574">
        <w:rPr>
          <w:rFonts w:ascii="Times New Roman" w:eastAsia="Calibri" w:hAnsi="Times New Roman" w:cs="Times New Roman"/>
          <w:sz w:val="24"/>
          <w:szCs w:val="24"/>
        </w:rPr>
        <w:t>Закон за устройство на територията;</w:t>
      </w:r>
    </w:p>
    <w:p w14:paraId="498E781F" w14:textId="77777777" w:rsidR="00BB515F" w:rsidRPr="00756574" w:rsidRDefault="00BB515F" w:rsidP="001D33CA">
      <w:pPr>
        <w:numPr>
          <w:ilvl w:val="0"/>
          <w:numId w:val="3"/>
        </w:numPr>
        <w:spacing w:after="0" w:line="276" w:lineRule="auto"/>
        <w:ind w:left="0" w:firstLine="720"/>
        <w:contextualSpacing/>
        <w:jc w:val="both"/>
        <w:rPr>
          <w:rFonts w:ascii="Times New Roman" w:eastAsia="Calibri" w:hAnsi="Times New Roman" w:cs="Times New Roman"/>
          <w:sz w:val="24"/>
          <w:szCs w:val="24"/>
        </w:rPr>
      </w:pPr>
      <w:r w:rsidRPr="00756574">
        <w:rPr>
          <w:rFonts w:ascii="Times New Roman" w:eastAsia="Calibri" w:hAnsi="Times New Roman" w:cs="Times New Roman"/>
          <w:sz w:val="24"/>
          <w:szCs w:val="24"/>
        </w:rPr>
        <w:lastRenderedPageBreak/>
        <w:t>Закон за горите;</w:t>
      </w:r>
    </w:p>
    <w:p w14:paraId="79A31D3E" w14:textId="77777777" w:rsidR="00BB515F" w:rsidRPr="00756574" w:rsidRDefault="00BB515F" w:rsidP="001D33CA">
      <w:pPr>
        <w:numPr>
          <w:ilvl w:val="0"/>
          <w:numId w:val="3"/>
        </w:numPr>
        <w:spacing w:after="0" w:line="276" w:lineRule="auto"/>
        <w:ind w:left="0" w:firstLine="720"/>
        <w:contextualSpacing/>
        <w:jc w:val="both"/>
        <w:rPr>
          <w:rFonts w:ascii="Times New Roman" w:eastAsia="Calibri" w:hAnsi="Times New Roman" w:cs="Times New Roman"/>
          <w:sz w:val="24"/>
          <w:szCs w:val="24"/>
        </w:rPr>
      </w:pPr>
      <w:r w:rsidRPr="00756574">
        <w:rPr>
          <w:rFonts w:ascii="Times New Roman" w:eastAsia="Calibri" w:hAnsi="Times New Roman" w:cs="Times New Roman"/>
          <w:sz w:val="24"/>
          <w:szCs w:val="24"/>
        </w:rPr>
        <w:t>Закон за здравословни и безопасни условия на труд;</w:t>
      </w:r>
    </w:p>
    <w:p w14:paraId="01A5C784" w14:textId="77777777" w:rsidR="00BB515F" w:rsidRPr="00756574" w:rsidRDefault="00BB515F" w:rsidP="001D33CA">
      <w:pPr>
        <w:numPr>
          <w:ilvl w:val="0"/>
          <w:numId w:val="3"/>
        </w:numPr>
        <w:spacing w:after="0" w:line="276" w:lineRule="auto"/>
        <w:ind w:left="0" w:firstLine="720"/>
        <w:contextualSpacing/>
        <w:jc w:val="both"/>
        <w:rPr>
          <w:rFonts w:ascii="Times New Roman" w:eastAsia="Calibri" w:hAnsi="Times New Roman" w:cs="Times New Roman"/>
          <w:sz w:val="24"/>
          <w:szCs w:val="24"/>
        </w:rPr>
      </w:pPr>
      <w:r w:rsidRPr="00756574">
        <w:rPr>
          <w:rFonts w:ascii="Times New Roman" w:eastAsia="Calibri" w:hAnsi="Times New Roman" w:cs="Times New Roman"/>
          <w:sz w:val="24"/>
          <w:szCs w:val="24"/>
        </w:rPr>
        <w:t>Закон за здравето;</w:t>
      </w:r>
    </w:p>
    <w:p w14:paraId="4FE3CD52" w14:textId="77777777" w:rsidR="00BB515F" w:rsidRPr="00756574" w:rsidRDefault="00BB515F" w:rsidP="001D33CA">
      <w:pPr>
        <w:numPr>
          <w:ilvl w:val="0"/>
          <w:numId w:val="3"/>
        </w:numPr>
        <w:spacing w:after="0" w:line="276" w:lineRule="auto"/>
        <w:ind w:left="0" w:firstLine="720"/>
        <w:contextualSpacing/>
        <w:jc w:val="both"/>
        <w:rPr>
          <w:rFonts w:ascii="Times New Roman" w:eastAsia="Calibri" w:hAnsi="Times New Roman" w:cs="Times New Roman"/>
          <w:sz w:val="24"/>
          <w:szCs w:val="24"/>
        </w:rPr>
      </w:pPr>
      <w:r w:rsidRPr="00756574">
        <w:rPr>
          <w:rFonts w:ascii="Times New Roman" w:eastAsia="Calibri" w:hAnsi="Times New Roman" w:cs="Times New Roman"/>
          <w:sz w:val="24"/>
          <w:szCs w:val="24"/>
        </w:rPr>
        <w:t>Наредба за условията и реда за извършване на екологична оценка на планове и програми;</w:t>
      </w:r>
    </w:p>
    <w:p w14:paraId="7148AFBC" w14:textId="77777777" w:rsidR="00BB515F" w:rsidRPr="00756574" w:rsidRDefault="00BB515F" w:rsidP="001D33CA">
      <w:pPr>
        <w:numPr>
          <w:ilvl w:val="0"/>
          <w:numId w:val="3"/>
        </w:numPr>
        <w:spacing w:after="0" w:line="276" w:lineRule="auto"/>
        <w:ind w:left="0" w:firstLine="720"/>
        <w:contextualSpacing/>
        <w:jc w:val="both"/>
        <w:rPr>
          <w:rFonts w:ascii="Times New Roman" w:eastAsia="Calibri" w:hAnsi="Times New Roman" w:cs="Times New Roman"/>
          <w:sz w:val="24"/>
          <w:szCs w:val="24"/>
        </w:rPr>
      </w:pPr>
      <w:r w:rsidRPr="00756574">
        <w:rPr>
          <w:rFonts w:ascii="Times New Roman" w:eastAsia="Calibri" w:hAnsi="Times New Roman" w:cs="Times New Roman"/>
          <w:sz w:val="24"/>
          <w:szCs w:val="24"/>
        </w:rPr>
        <w:t>Наредба за условията и реда за извършване на оценка на съвместимостта на планове, програми, проекти и инвестиционни предложения с предмета и целите на опазване на защитените зони;</w:t>
      </w:r>
    </w:p>
    <w:p w14:paraId="0C8AA8A6" w14:textId="77777777" w:rsidR="00BB515F" w:rsidRPr="00756574" w:rsidRDefault="00BB515F" w:rsidP="001D33CA">
      <w:pPr>
        <w:numPr>
          <w:ilvl w:val="0"/>
          <w:numId w:val="3"/>
        </w:numPr>
        <w:spacing w:after="0" w:line="276" w:lineRule="auto"/>
        <w:ind w:left="0" w:firstLine="720"/>
        <w:contextualSpacing/>
        <w:jc w:val="both"/>
        <w:rPr>
          <w:rFonts w:ascii="Times New Roman" w:eastAsia="Calibri" w:hAnsi="Times New Roman" w:cs="Times New Roman"/>
          <w:sz w:val="24"/>
          <w:szCs w:val="24"/>
        </w:rPr>
      </w:pPr>
      <w:r w:rsidRPr="00756574">
        <w:rPr>
          <w:rFonts w:ascii="Times New Roman" w:eastAsia="Calibri" w:hAnsi="Times New Roman" w:cs="Times New Roman"/>
          <w:sz w:val="24"/>
          <w:szCs w:val="24"/>
        </w:rPr>
        <w:t>Други подзаконови нормативни актове в областта на биологичното разнообразие, отпадъците, въздуха, водите, почвите, шума и др.</w:t>
      </w:r>
    </w:p>
    <w:p w14:paraId="3E74AAC4" w14:textId="77777777" w:rsidR="00BD2C7B" w:rsidRPr="00756574" w:rsidRDefault="00BD2C7B" w:rsidP="001D33CA">
      <w:pPr>
        <w:spacing w:after="0" w:line="276" w:lineRule="auto"/>
        <w:ind w:firstLine="720"/>
        <w:contextualSpacing/>
        <w:jc w:val="both"/>
        <w:rPr>
          <w:rFonts w:ascii="Times New Roman" w:eastAsia="Calibri" w:hAnsi="Times New Roman" w:cs="Times New Roman"/>
          <w:sz w:val="24"/>
          <w:szCs w:val="24"/>
        </w:rPr>
      </w:pPr>
    </w:p>
    <w:p w14:paraId="1CC7FF77" w14:textId="77777777" w:rsidR="00BB515F" w:rsidRPr="00756574" w:rsidRDefault="00BB515F" w:rsidP="001D33CA">
      <w:pPr>
        <w:spacing w:after="0" w:line="276" w:lineRule="auto"/>
        <w:ind w:firstLine="720"/>
        <w:contextualSpacing/>
        <w:jc w:val="both"/>
        <w:rPr>
          <w:rFonts w:ascii="Times New Roman" w:eastAsia="Calibri" w:hAnsi="Times New Roman" w:cs="Times New Roman"/>
          <w:i/>
          <w:iCs/>
          <w:sz w:val="24"/>
          <w:szCs w:val="24"/>
        </w:rPr>
      </w:pPr>
      <w:r w:rsidRPr="00756574">
        <w:rPr>
          <w:rFonts w:ascii="Times New Roman" w:eastAsia="Calibri" w:hAnsi="Times New Roman" w:cs="Times New Roman"/>
          <w:i/>
          <w:iCs/>
          <w:sz w:val="24"/>
          <w:szCs w:val="24"/>
        </w:rPr>
        <w:t xml:space="preserve">Като </w:t>
      </w:r>
      <w:r w:rsidRPr="00756574">
        <w:rPr>
          <w:rFonts w:ascii="Times New Roman" w:eastAsia="Calibri" w:hAnsi="Times New Roman" w:cs="Times New Roman"/>
          <w:b/>
          <w:i/>
          <w:iCs/>
          <w:sz w:val="24"/>
          <w:szCs w:val="24"/>
        </w:rPr>
        <w:t>източници на информация</w:t>
      </w:r>
      <w:r w:rsidRPr="00756574">
        <w:rPr>
          <w:rFonts w:ascii="Times New Roman" w:eastAsia="Calibri" w:hAnsi="Times New Roman" w:cs="Times New Roman"/>
          <w:i/>
          <w:iCs/>
          <w:sz w:val="24"/>
          <w:szCs w:val="24"/>
        </w:rPr>
        <w:t xml:space="preserve"> ще бъдат използвани:</w:t>
      </w:r>
    </w:p>
    <w:p w14:paraId="3FA03F0A" w14:textId="0EA3EE22" w:rsidR="00BB515F" w:rsidRPr="00756574" w:rsidRDefault="00BB515F" w:rsidP="001D33CA">
      <w:pPr>
        <w:numPr>
          <w:ilvl w:val="0"/>
          <w:numId w:val="4"/>
        </w:numPr>
        <w:spacing w:after="0" w:line="276" w:lineRule="auto"/>
        <w:ind w:left="0" w:firstLine="720"/>
        <w:contextualSpacing/>
        <w:jc w:val="both"/>
        <w:rPr>
          <w:rFonts w:ascii="Times New Roman" w:eastAsia="Calibri" w:hAnsi="Times New Roman" w:cs="Times New Roman"/>
          <w:sz w:val="24"/>
          <w:szCs w:val="24"/>
        </w:rPr>
      </w:pPr>
      <w:r w:rsidRPr="00756574">
        <w:rPr>
          <w:rFonts w:ascii="Times New Roman" w:eastAsia="Calibri" w:hAnsi="Times New Roman" w:cs="Times New Roman"/>
          <w:sz w:val="24"/>
          <w:szCs w:val="24"/>
        </w:rPr>
        <w:t xml:space="preserve">Статистически данни, доклади и бюлетини на </w:t>
      </w:r>
      <w:bookmarkStart w:id="48" w:name="_Hlk54692593"/>
      <w:r w:rsidRPr="00756574">
        <w:rPr>
          <w:rFonts w:ascii="Times New Roman" w:eastAsia="Calibri" w:hAnsi="Times New Roman" w:cs="Times New Roman"/>
          <w:sz w:val="24"/>
          <w:szCs w:val="24"/>
        </w:rPr>
        <w:t>МЗ, БДУВ, РИОСВ, НСИ и ИАОС</w:t>
      </w:r>
      <w:r w:rsidR="00BA6AF1">
        <w:rPr>
          <w:rFonts w:ascii="Times New Roman" w:eastAsia="Calibri" w:hAnsi="Times New Roman" w:cs="Times New Roman"/>
          <w:sz w:val="24"/>
          <w:szCs w:val="24"/>
        </w:rPr>
        <w:t>, Главна дирекция „Гражданска регистрация и административно обслужване“</w:t>
      </w:r>
      <w:r w:rsidRPr="00756574">
        <w:rPr>
          <w:rFonts w:ascii="Times New Roman" w:eastAsia="Calibri" w:hAnsi="Times New Roman" w:cs="Times New Roman"/>
          <w:sz w:val="24"/>
          <w:szCs w:val="24"/>
        </w:rPr>
        <w:t>;</w:t>
      </w:r>
    </w:p>
    <w:bookmarkEnd w:id="48"/>
    <w:p w14:paraId="019F2F10" w14:textId="77777777" w:rsidR="00BB515F" w:rsidRPr="00756574" w:rsidRDefault="00BB515F" w:rsidP="001D33CA">
      <w:pPr>
        <w:numPr>
          <w:ilvl w:val="0"/>
          <w:numId w:val="4"/>
        </w:numPr>
        <w:spacing w:after="0" w:line="276" w:lineRule="auto"/>
        <w:ind w:left="0" w:firstLine="720"/>
        <w:contextualSpacing/>
        <w:jc w:val="both"/>
        <w:rPr>
          <w:rFonts w:ascii="Times New Roman" w:eastAsia="Calibri" w:hAnsi="Times New Roman" w:cs="Times New Roman"/>
          <w:sz w:val="24"/>
          <w:szCs w:val="24"/>
        </w:rPr>
      </w:pPr>
      <w:r w:rsidRPr="00756574">
        <w:rPr>
          <w:rFonts w:ascii="Times New Roman" w:eastAsia="Calibri" w:hAnsi="Times New Roman" w:cs="Times New Roman"/>
          <w:sz w:val="24"/>
          <w:szCs w:val="24"/>
        </w:rPr>
        <w:t xml:space="preserve">Национален доклад за състоянието и опазването на околната среда (най-актуалният към момента на изготвяне на </w:t>
      </w:r>
      <w:r w:rsidR="00BD2C7B" w:rsidRPr="00756574">
        <w:rPr>
          <w:rFonts w:ascii="Times New Roman" w:eastAsia="Calibri" w:hAnsi="Times New Roman" w:cs="Times New Roman"/>
          <w:sz w:val="24"/>
          <w:szCs w:val="24"/>
        </w:rPr>
        <w:t xml:space="preserve">доклада за </w:t>
      </w:r>
      <w:r w:rsidRPr="00756574">
        <w:rPr>
          <w:rFonts w:ascii="Times New Roman" w:eastAsia="Calibri" w:hAnsi="Times New Roman" w:cs="Times New Roman"/>
          <w:sz w:val="24"/>
          <w:szCs w:val="24"/>
        </w:rPr>
        <w:t>ЕО), ИАОС;</w:t>
      </w:r>
    </w:p>
    <w:p w14:paraId="52DD36C7" w14:textId="03BF6288" w:rsidR="00BB515F" w:rsidRPr="00756574" w:rsidRDefault="00BB515F" w:rsidP="001D33CA">
      <w:pPr>
        <w:numPr>
          <w:ilvl w:val="0"/>
          <w:numId w:val="4"/>
        </w:numPr>
        <w:spacing w:after="0" w:line="276" w:lineRule="auto"/>
        <w:ind w:left="0" w:firstLine="720"/>
        <w:contextualSpacing/>
        <w:jc w:val="both"/>
        <w:rPr>
          <w:rFonts w:ascii="Times New Roman" w:eastAsia="Calibri" w:hAnsi="Times New Roman" w:cs="Times New Roman"/>
          <w:sz w:val="24"/>
          <w:szCs w:val="24"/>
        </w:rPr>
      </w:pPr>
      <w:r w:rsidRPr="00756574">
        <w:rPr>
          <w:rFonts w:ascii="Times New Roman" w:eastAsia="Calibri" w:hAnsi="Times New Roman" w:cs="Times New Roman"/>
          <w:sz w:val="24"/>
          <w:szCs w:val="24"/>
        </w:rPr>
        <w:t xml:space="preserve">Стратегии, планове и програми, имащи отношение към </w:t>
      </w:r>
      <w:r w:rsidR="005B5EB3">
        <w:rPr>
          <w:rFonts w:ascii="Times New Roman" w:eastAsia="Calibri" w:hAnsi="Times New Roman" w:cs="Times New Roman"/>
          <w:sz w:val="24"/>
          <w:szCs w:val="24"/>
        </w:rPr>
        <w:t>ИПЕК</w:t>
      </w:r>
      <w:r w:rsidRPr="00756574">
        <w:rPr>
          <w:rFonts w:ascii="Times New Roman" w:eastAsia="Calibri" w:hAnsi="Times New Roman" w:cs="Times New Roman"/>
          <w:sz w:val="24"/>
          <w:szCs w:val="24"/>
        </w:rPr>
        <w:t>;</w:t>
      </w:r>
    </w:p>
    <w:p w14:paraId="0B8B5274" w14:textId="77777777" w:rsidR="00BB515F" w:rsidRPr="00756574" w:rsidRDefault="00BB515F" w:rsidP="001D33CA">
      <w:pPr>
        <w:numPr>
          <w:ilvl w:val="0"/>
          <w:numId w:val="4"/>
        </w:numPr>
        <w:spacing w:after="0" w:line="276" w:lineRule="auto"/>
        <w:ind w:left="0" w:firstLine="720"/>
        <w:contextualSpacing/>
        <w:jc w:val="both"/>
        <w:rPr>
          <w:rFonts w:ascii="Times New Roman" w:eastAsia="Calibri" w:hAnsi="Times New Roman" w:cs="Times New Roman"/>
          <w:sz w:val="24"/>
          <w:szCs w:val="24"/>
        </w:rPr>
      </w:pPr>
      <w:r w:rsidRPr="00756574">
        <w:rPr>
          <w:rFonts w:ascii="Times New Roman" w:eastAsia="Calibri" w:hAnsi="Times New Roman" w:cs="Times New Roman"/>
          <w:sz w:val="24"/>
          <w:szCs w:val="24"/>
        </w:rPr>
        <w:t>Стратегии, планове и програми на национално и международно (европейско) ниво, поставящи цели по опазване на околната среда;</w:t>
      </w:r>
    </w:p>
    <w:p w14:paraId="7AE6E921" w14:textId="77777777" w:rsidR="00BB515F" w:rsidRPr="00756574" w:rsidRDefault="00BB515F" w:rsidP="001D33CA">
      <w:pPr>
        <w:numPr>
          <w:ilvl w:val="0"/>
          <w:numId w:val="4"/>
        </w:numPr>
        <w:spacing w:after="0" w:line="276" w:lineRule="auto"/>
        <w:ind w:left="0" w:firstLine="720"/>
        <w:contextualSpacing/>
        <w:jc w:val="both"/>
        <w:rPr>
          <w:rFonts w:ascii="Times New Roman" w:eastAsia="Calibri" w:hAnsi="Times New Roman" w:cs="Times New Roman"/>
          <w:sz w:val="24"/>
          <w:szCs w:val="24"/>
        </w:rPr>
      </w:pPr>
      <w:r w:rsidRPr="00756574">
        <w:rPr>
          <w:rFonts w:ascii="Times New Roman" w:eastAsia="Calibri" w:hAnsi="Times New Roman" w:cs="Times New Roman"/>
          <w:sz w:val="24"/>
          <w:szCs w:val="24"/>
        </w:rPr>
        <w:t>Литературни източници на информация за компонентите и факторите на околната среда (климатични фактори, геология, хидрология, ландшафт, растителност, животински свят и др.).</w:t>
      </w:r>
    </w:p>
    <w:p w14:paraId="078A91A6" w14:textId="77777777" w:rsidR="00BB515F" w:rsidRPr="00756574" w:rsidRDefault="00BB515F" w:rsidP="001D33CA">
      <w:pPr>
        <w:spacing w:after="0" w:line="276" w:lineRule="auto"/>
        <w:ind w:firstLine="720"/>
        <w:contextualSpacing/>
        <w:jc w:val="both"/>
        <w:rPr>
          <w:rFonts w:ascii="Times New Roman" w:eastAsia="Calibri" w:hAnsi="Times New Roman" w:cs="Times New Roman"/>
          <w:sz w:val="24"/>
          <w:szCs w:val="24"/>
        </w:rPr>
      </w:pPr>
      <w:r w:rsidRPr="00756574">
        <w:rPr>
          <w:rFonts w:ascii="Times New Roman" w:eastAsia="Calibri" w:hAnsi="Times New Roman" w:cs="Times New Roman"/>
          <w:sz w:val="24"/>
          <w:szCs w:val="24"/>
        </w:rPr>
        <w:t xml:space="preserve">За изготвяне на настоящото задание е използвана следната </w:t>
      </w:r>
      <w:r w:rsidRPr="00756574">
        <w:rPr>
          <w:rFonts w:ascii="Times New Roman" w:eastAsia="Calibri" w:hAnsi="Times New Roman" w:cs="Times New Roman"/>
          <w:b/>
          <w:sz w:val="24"/>
          <w:szCs w:val="24"/>
        </w:rPr>
        <w:t>документация</w:t>
      </w:r>
      <w:r w:rsidRPr="00756574">
        <w:rPr>
          <w:rFonts w:ascii="Times New Roman" w:eastAsia="Calibri" w:hAnsi="Times New Roman" w:cs="Times New Roman"/>
          <w:sz w:val="24"/>
          <w:szCs w:val="24"/>
        </w:rPr>
        <w:t>:</w:t>
      </w:r>
    </w:p>
    <w:p w14:paraId="6A024E1E" w14:textId="39E88FD9" w:rsidR="00BB515F" w:rsidRPr="001830AE" w:rsidRDefault="00BE656F" w:rsidP="00BE656F">
      <w:pPr>
        <w:numPr>
          <w:ilvl w:val="0"/>
          <w:numId w:val="4"/>
        </w:numPr>
        <w:spacing w:after="0" w:line="276" w:lineRule="auto"/>
        <w:ind w:left="0" w:firstLine="709"/>
        <w:contextualSpacing/>
        <w:jc w:val="both"/>
        <w:rPr>
          <w:rFonts w:ascii="Times New Roman" w:eastAsia="Calibri" w:hAnsi="Times New Roman" w:cs="Times New Roman"/>
          <w:sz w:val="24"/>
          <w:szCs w:val="24"/>
        </w:rPr>
      </w:pPr>
      <w:r w:rsidRPr="00BE656F">
        <w:rPr>
          <w:rFonts w:ascii="Times New Roman" w:hAnsi="Times New Roman" w:cs="Times New Roman"/>
          <w:sz w:val="24"/>
          <w:szCs w:val="24"/>
        </w:rPr>
        <w:t xml:space="preserve">Проект на </w:t>
      </w:r>
      <w:r w:rsidRPr="00BE656F">
        <w:rPr>
          <w:rFonts w:ascii="Times New Roman" w:hAnsi="Times New Roman" w:cs="Times New Roman"/>
          <w:bCs/>
          <w:sz w:val="24"/>
          <w:szCs w:val="24"/>
        </w:rPr>
        <w:t xml:space="preserve">Интегриран план в </w:t>
      </w:r>
      <w:r w:rsidRPr="001830AE">
        <w:rPr>
          <w:rFonts w:ascii="Times New Roman" w:hAnsi="Times New Roman" w:cs="Times New Roman"/>
          <w:bCs/>
          <w:sz w:val="24"/>
          <w:szCs w:val="24"/>
        </w:rPr>
        <w:t>областта на енергетиката и климата на Република България - актуализация 2024 г. (</w:t>
      </w:r>
      <w:r w:rsidR="005B5EB3">
        <w:rPr>
          <w:rFonts w:ascii="Times New Roman" w:hAnsi="Times New Roman" w:cs="Times New Roman"/>
          <w:bCs/>
          <w:sz w:val="24"/>
          <w:szCs w:val="24"/>
        </w:rPr>
        <w:t>ИПЕК</w:t>
      </w:r>
      <w:r w:rsidRPr="001830AE">
        <w:rPr>
          <w:rFonts w:ascii="Times New Roman" w:hAnsi="Times New Roman" w:cs="Times New Roman"/>
          <w:bCs/>
          <w:sz w:val="24"/>
          <w:szCs w:val="24"/>
        </w:rPr>
        <w:t xml:space="preserve">) </w:t>
      </w:r>
      <w:r w:rsidR="00BB515F" w:rsidRPr="001830AE">
        <w:rPr>
          <w:rFonts w:ascii="Times New Roman" w:eastAsia="Calibri" w:hAnsi="Times New Roman" w:cs="Times New Roman"/>
          <w:sz w:val="24"/>
          <w:szCs w:val="24"/>
        </w:rPr>
        <w:t>г.;</w:t>
      </w:r>
    </w:p>
    <w:p w14:paraId="259AB272" w14:textId="77777777" w:rsidR="00BB515F" w:rsidRPr="00BE656F" w:rsidRDefault="00BB515F" w:rsidP="00BE656F">
      <w:pPr>
        <w:numPr>
          <w:ilvl w:val="0"/>
          <w:numId w:val="4"/>
        </w:numPr>
        <w:spacing w:after="0" w:line="276" w:lineRule="auto"/>
        <w:ind w:left="0" w:firstLine="709"/>
        <w:contextualSpacing/>
        <w:jc w:val="both"/>
        <w:rPr>
          <w:rFonts w:ascii="Times New Roman" w:eastAsia="Calibri" w:hAnsi="Times New Roman" w:cs="Times New Roman"/>
          <w:sz w:val="24"/>
          <w:szCs w:val="24"/>
        </w:rPr>
      </w:pPr>
      <w:r w:rsidRPr="00BE656F">
        <w:rPr>
          <w:rFonts w:ascii="Times New Roman" w:eastAsia="Calibri" w:hAnsi="Times New Roman" w:cs="Times New Roman"/>
          <w:sz w:val="24"/>
          <w:szCs w:val="24"/>
        </w:rPr>
        <w:t>Писмо с изх. №</w:t>
      </w:r>
      <w:r w:rsidR="00756574" w:rsidRPr="00BE656F">
        <w:rPr>
          <w:rFonts w:ascii="Times New Roman" w:eastAsia="Calibri" w:hAnsi="Times New Roman" w:cs="Times New Roman"/>
          <w:sz w:val="24"/>
          <w:szCs w:val="24"/>
        </w:rPr>
        <w:t xml:space="preserve"> ЕО-3</w:t>
      </w:r>
      <w:r w:rsidR="00BE656F" w:rsidRPr="00BE656F">
        <w:rPr>
          <w:rFonts w:ascii="Times New Roman" w:eastAsia="Calibri" w:hAnsi="Times New Roman" w:cs="Times New Roman"/>
          <w:sz w:val="24"/>
          <w:szCs w:val="24"/>
        </w:rPr>
        <w:t>/15.</w:t>
      </w:r>
      <w:r w:rsidR="00A4785E" w:rsidRPr="00BE656F">
        <w:rPr>
          <w:rFonts w:ascii="Times New Roman" w:eastAsia="Calibri" w:hAnsi="Times New Roman" w:cs="Times New Roman"/>
          <w:sz w:val="24"/>
          <w:szCs w:val="24"/>
        </w:rPr>
        <w:t>0</w:t>
      </w:r>
      <w:r w:rsidR="00BE656F" w:rsidRPr="00BE656F">
        <w:rPr>
          <w:rFonts w:ascii="Times New Roman" w:eastAsia="Calibri" w:hAnsi="Times New Roman" w:cs="Times New Roman"/>
          <w:sz w:val="24"/>
          <w:szCs w:val="24"/>
        </w:rPr>
        <w:t>7</w:t>
      </w:r>
      <w:r w:rsidR="00A4785E" w:rsidRPr="00BE656F">
        <w:rPr>
          <w:rFonts w:ascii="Times New Roman" w:eastAsia="Calibri" w:hAnsi="Times New Roman" w:cs="Times New Roman"/>
          <w:sz w:val="24"/>
          <w:szCs w:val="24"/>
        </w:rPr>
        <w:t>.202</w:t>
      </w:r>
      <w:r w:rsidR="00BE656F" w:rsidRPr="00BE656F">
        <w:rPr>
          <w:rFonts w:ascii="Times New Roman" w:eastAsia="Calibri" w:hAnsi="Times New Roman" w:cs="Times New Roman"/>
          <w:sz w:val="24"/>
          <w:szCs w:val="24"/>
        </w:rPr>
        <w:t>4</w:t>
      </w:r>
      <w:r w:rsidR="00A4785E" w:rsidRPr="00BE656F">
        <w:rPr>
          <w:rFonts w:ascii="Times New Roman" w:eastAsia="Calibri" w:hAnsi="Times New Roman" w:cs="Times New Roman"/>
          <w:sz w:val="24"/>
          <w:szCs w:val="24"/>
        </w:rPr>
        <w:t xml:space="preserve"> </w:t>
      </w:r>
      <w:r w:rsidRPr="00BE656F">
        <w:rPr>
          <w:rFonts w:ascii="Times New Roman" w:eastAsia="Calibri" w:hAnsi="Times New Roman" w:cs="Times New Roman"/>
          <w:sz w:val="24"/>
          <w:szCs w:val="24"/>
        </w:rPr>
        <w:t>г. на Министъра на околната среда и водите;</w:t>
      </w:r>
    </w:p>
    <w:p w14:paraId="3ABC83AD" w14:textId="3AC570FE" w:rsidR="00BB515F" w:rsidRPr="00ED4121" w:rsidRDefault="00BB515F" w:rsidP="00BE656F">
      <w:pPr>
        <w:numPr>
          <w:ilvl w:val="0"/>
          <w:numId w:val="4"/>
        </w:numPr>
        <w:spacing w:after="0" w:line="276" w:lineRule="auto"/>
        <w:ind w:left="0" w:firstLine="709"/>
        <w:contextualSpacing/>
        <w:jc w:val="both"/>
        <w:rPr>
          <w:rFonts w:ascii="Times New Roman" w:eastAsia="Calibri" w:hAnsi="Times New Roman" w:cs="Times New Roman"/>
          <w:sz w:val="24"/>
          <w:szCs w:val="24"/>
        </w:rPr>
      </w:pPr>
      <w:r w:rsidRPr="00ED4121">
        <w:rPr>
          <w:rFonts w:ascii="Times New Roman" w:eastAsia="Calibri" w:hAnsi="Times New Roman" w:cs="Times New Roman"/>
          <w:sz w:val="24"/>
          <w:szCs w:val="24"/>
        </w:rPr>
        <w:t xml:space="preserve">Друга документация, предоставена от </w:t>
      </w:r>
      <w:r w:rsidR="001830AE" w:rsidRPr="00ED4121">
        <w:rPr>
          <w:rFonts w:ascii="Times New Roman" w:eastAsia="Calibri" w:hAnsi="Times New Roman" w:cs="Times New Roman"/>
          <w:sz w:val="24"/>
          <w:szCs w:val="24"/>
        </w:rPr>
        <w:t>Главна д</w:t>
      </w:r>
      <w:r w:rsidR="00640EDB" w:rsidRPr="00ED4121">
        <w:rPr>
          <w:rFonts w:ascii="Times New Roman" w:eastAsia="Calibri" w:hAnsi="Times New Roman" w:cs="Times New Roman"/>
          <w:sz w:val="24"/>
          <w:szCs w:val="24"/>
        </w:rPr>
        <w:t>ирекция „</w:t>
      </w:r>
      <w:r w:rsidR="001830AE" w:rsidRPr="00ED4121">
        <w:rPr>
          <w:rFonts w:ascii="Times New Roman" w:eastAsia="Calibri" w:hAnsi="Times New Roman" w:cs="Times New Roman"/>
          <w:sz w:val="24"/>
          <w:szCs w:val="24"/>
        </w:rPr>
        <w:t>Политики по изменение на климата</w:t>
      </w:r>
      <w:r w:rsidR="00640EDB" w:rsidRPr="00ED4121">
        <w:rPr>
          <w:rFonts w:ascii="Times New Roman" w:eastAsia="Calibri" w:hAnsi="Times New Roman" w:cs="Times New Roman"/>
          <w:sz w:val="24"/>
          <w:szCs w:val="24"/>
        </w:rPr>
        <w:t>“ към М</w:t>
      </w:r>
      <w:r w:rsidR="001830AE" w:rsidRPr="00ED4121">
        <w:rPr>
          <w:rFonts w:ascii="Times New Roman" w:eastAsia="Calibri" w:hAnsi="Times New Roman" w:cs="Times New Roman"/>
          <w:sz w:val="24"/>
          <w:szCs w:val="24"/>
        </w:rPr>
        <w:t>ОСВ</w:t>
      </w:r>
      <w:r w:rsidR="00B77B6F" w:rsidRPr="00ED4121">
        <w:rPr>
          <w:rFonts w:ascii="Times New Roman" w:eastAsia="Calibri" w:hAnsi="Times New Roman" w:cs="Times New Roman"/>
          <w:sz w:val="24"/>
          <w:szCs w:val="24"/>
        </w:rPr>
        <w:t>.</w:t>
      </w:r>
    </w:p>
    <w:p w14:paraId="6D144987" w14:textId="77777777" w:rsidR="002B568E" w:rsidRPr="00BE656F" w:rsidRDefault="002B568E" w:rsidP="002B568E">
      <w:pPr>
        <w:spacing w:after="0" w:line="276" w:lineRule="auto"/>
        <w:contextualSpacing/>
        <w:jc w:val="both"/>
        <w:rPr>
          <w:rFonts w:ascii="Times New Roman" w:eastAsia="Calibri" w:hAnsi="Times New Roman" w:cs="Times New Roman"/>
          <w:sz w:val="24"/>
          <w:szCs w:val="24"/>
        </w:rPr>
      </w:pPr>
    </w:p>
    <w:p w14:paraId="3E55BD66" w14:textId="3EE477C3" w:rsidR="002B568E" w:rsidRPr="00BE656F" w:rsidRDefault="002B568E" w:rsidP="002B568E">
      <w:pPr>
        <w:spacing w:after="0" w:line="276" w:lineRule="auto"/>
        <w:contextualSpacing/>
        <w:jc w:val="both"/>
        <w:rPr>
          <w:rFonts w:ascii="Times New Roman" w:eastAsia="Calibri" w:hAnsi="Times New Roman" w:cs="Times New Roman"/>
          <w:b/>
          <w:bCs/>
          <w:sz w:val="24"/>
          <w:szCs w:val="24"/>
        </w:rPr>
      </w:pPr>
      <w:r w:rsidRPr="00BE656F">
        <w:rPr>
          <w:rFonts w:ascii="Times New Roman" w:eastAsia="Calibri" w:hAnsi="Times New Roman" w:cs="Times New Roman"/>
          <w:b/>
          <w:bCs/>
          <w:sz w:val="24"/>
          <w:szCs w:val="24"/>
        </w:rPr>
        <w:t>Литература флора:</w:t>
      </w:r>
    </w:p>
    <w:p w14:paraId="7A4FC78B" w14:textId="2EB425BE" w:rsidR="002B568E" w:rsidRPr="00BE656F" w:rsidRDefault="002B568E" w:rsidP="004F15F5">
      <w:pPr>
        <w:pStyle w:val="ListParagraph"/>
        <w:numPr>
          <w:ilvl w:val="0"/>
          <w:numId w:val="13"/>
        </w:numPr>
        <w:spacing w:after="0" w:line="276" w:lineRule="auto"/>
        <w:jc w:val="both"/>
        <w:rPr>
          <w:rFonts w:ascii="Times New Roman" w:eastAsia="Calibri" w:hAnsi="Times New Roman" w:cs="Times New Roman"/>
          <w:bCs/>
          <w:sz w:val="24"/>
          <w:szCs w:val="24"/>
        </w:rPr>
      </w:pPr>
      <w:r w:rsidRPr="00BE656F">
        <w:rPr>
          <w:rFonts w:ascii="Times New Roman" w:eastAsia="Calibri" w:hAnsi="Times New Roman" w:cs="Times New Roman"/>
          <w:bCs/>
          <w:sz w:val="24"/>
          <w:szCs w:val="24"/>
        </w:rPr>
        <w:t>Бондев, И. 2002. Геоботаническо райониране. – В: Копралев, И. (ред.), География на България. Физическа и социално-икономическа георграфия. с. 336-352. ФорКом, София.</w:t>
      </w:r>
    </w:p>
    <w:p w14:paraId="61A7295D" w14:textId="5CAF5A0A" w:rsidR="002B568E" w:rsidRPr="00BE656F" w:rsidRDefault="002B568E" w:rsidP="004F15F5">
      <w:pPr>
        <w:pStyle w:val="ListParagraph"/>
        <w:numPr>
          <w:ilvl w:val="0"/>
          <w:numId w:val="13"/>
        </w:numPr>
        <w:spacing w:after="0" w:line="276" w:lineRule="auto"/>
        <w:jc w:val="both"/>
        <w:rPr>
          <w:rFonts w:ascii="Times New Roman" w:eastAsia="Calibri" w:hAnsi="Times New Roman" w:cs="Times New Roman"/>
          <w:bCs/>
          <w:sz w:val="24"/>
          <w:szCs w:val="24"/>
        </w:rPr>
      </w:pPr>
      <w:r w:rsidRPr="00BE656F">
        <w:rPr>
          <w:rFonts w:ascii="Times New Roman" w:eastAsia="Calibri" w:hAnsi="Times New Roman" w:cs="Times New Roman"/>
          <w:bCs/>
          <w:sz w:val="24"/>
          <w:szCs w:val="24"/>
        </w:rPr>
        <w:t>Ганева, А., Начева, Р. 2005. Мъховата флора на България: съвременно състояние на проучване, опазване и рационално използване. – В: Петрова, А. (ред.), Съвременно състояние на биоразнообразието в България – проблеми и перспективи. с. 69-74. Българска платформа за биоразнообразие, МОСВ, София.</w:t>
      </w:r>
    </w:p>
    <w:p w14:paraId="64EAB704" w14:textId="7414F6D2" w:rsidR="002B568E" w:rsidRPr="00BE656F" w:rsidRDefault="002B568E" w:rsidP="004F15F5">
      <w:pPr>
        <w:pStyle w:val="ListParagraph"/>
        <w:numPr>
          <w:ilvl w:val="0"/>
          <w:numId w:val="13"/>
        </w:numPr>
        <w:spacing w:after="0" w:line="276" w:lineRule="auto"/>
        <w:jc w:val="both"/>
        <w:rPr>
          <w:rFonts w:ascii="Times New Roman" w:eastAsia="Calibri" w:hAnsi="Times New Roman" w:cs="Times New Roman"/>
          <w:bCs/>
          <w:sz w:val="24"/>
          <w:szCs w:val="24"/>
        </w:rPr>
      </w:pPr>
      <w:r w:rsidRPr="00BE656F">
        <w:rPr>
          <w:rFonts w:ascii="Times New Roman" w:eastAsia="Calibri" w:hAnsi="Times New Roman" w:cs="Times New Roman"/>
          <w:bCs/>
          <w:sz w:val="24"/>
          <w:szCs w:val="24"/>
        </w:rPr>
        <w:t xml:space="preserve">Петрова, А., Владимиров, В., Димитрова, Д., Иванова, Д. 2005. Съвременно състояние на биоразнообразието на папратовидни и семенни растения в България. – </w:t>
      </w:r>
      <w:r w:rsidRPr="00BE656F">
        <w:rPr>
          <w:rFonts w:ascii="Times New Roman" w:eastAsia="Calibri" w:hAnsi="Times New Roman" w:cs="Times New Roman"/>
          <w:bCs/>
          <w:sz w:val="24"/>
          <w:szCs w:val="24"/>
        </w:rPr>
        <w:lastRenderedPageBreak/>
        <w:t>В: Петрова, А. (ред.), Съвременно състояние на биоразнообразието в България – проблеми и перспективи. с. 75-104. Българска платформа за биоразнообразие, МОСВ, София.</w:t>
      </w:r>
    </w:p>
    <w:p w14:paraId="1B7BF351" w14:textId="3B8C588F" w:rsidR="002B568E" w:rsidRPr="00BE656F" w:rsidRDefault="002B568E" w:rsidP="004F15F5">
      <w:pPr>
        <w:pStyle w:val="ListParagraph"/>
        <w:numPr>
          <w:ilvl w:val="0"/>
          <w:numId w:val="13"/>
        </w:numPr>
        <w:spacing w:after="0" w:line="276" w:lineRule="auto"/>
        <w:jc w:val="both"/>
        <w:rPr>
          <w:rFonts w:ascii="Times New Roman" w:eastAsia="Calibri" w:hAnsi="Times New Roman" w:cs="Times New Roman"/>
          <w:bCs/>
          <w:sz w:val="24"/>
          <w:szCs w:val="24"/>
        </w:rPr>
      </w:pPr>
      <w:r w:rsidRPr="00BE656F">
        <w:rPr>
          <w:rFonts w:ascii="Times New Roman" w:eastAsia="Calibri" w:hAnsi="Times New Roman" w:cs="Times New Roman"/>
          <w:bCs/>
          <w:sz w:val="24"/>
          <w:szCs w:val="24"/>
        </w:rPr>
        <w:t xml:space="preserve">Русакова, В. 2015. Природните местообитания като елемент от биологичното разнообразие на България. В: Бисерков, В. и др. (ред.). Червена книга на Република България. Том 3. Природни местообитания. МОСВ-БАН. </w:t>
      </w:r>
    </w:p>
    <w:p w14:paraId="4CAFE1B9" w14:textId="77777777" w:rsidR="00A30F6F" w:rsidRDefault="00A30F6F" w:rsidP="001D33CA">
      <w:pPr>
        <w:pStyle w:val="ListParagraph"/>
        <w:spacing w:after="0" w:line="276" w:lineRule="auto"/>
        <w:ind w:left="0"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2B568E" w:rsidRPr="00BE656F">
        <w:rPr>
          <w:rFonts w:ascii="Times New Roman" w:eastAsia="Calibri" w:hAnsi="Times New Roman" w:cs="Times New Roman"/>
          <w:bCs/>
          <w:sz w:val="24"/>
          <w:szCs w:val="24"/>
        </w:rPr>
        <w:t>Walter, K.S. &amp; Gillett, H.J. (eds). 1998. 1997 IUCN Red List of Threatened Plants. IUCN,</w:t>
      </w:r>
    </w:p>
    <w:p w14:paraId="205A64A7" w14:textId="6C7E848C" w:rsidR="00BB515F" w:rsidRDefault="002B568E" w:rsidP="001D33CA">
      <w:pPr>
        <w:pStyle w:val="ListParagraph"/>
        <w:spacing w:after="0" w:line="276" w:lineRule="auto"/>
        <w:ind w:left="0" w:firstLine="709"/>
        <w:jc w:val="both"/>
        <w:rPr>
          <w:rFonts w:ascii="Times New Roman" w:eastAsia="Calibri" w:hAnsi="Times New Roman" w:cs="Times New Roman"/>
          <w:bCs/>
          <w:sz w:val="24"/>
          <w:szCs w:val="24"/>
        </w:rPr>
      </w:pPr>
      <w:r w:rsidRPr="00BE656F">
        <w:rPr>
          <w:rFonts w:ascii="Times New Roman" w:eastAsia="Calibri" w:hAnsi="Times New Roman" w:cs="Times New Roman"/>
          <w:bCs/>
          <w:sz w:val="24"/>
          <w:szCs w:val="24"/>
        </w:rPr>
        <w:t>The World Conservation Union, Gland &amp; Cambridge.</w:t>
      </w:r>
    </w:p>
    <w:p w14:paraId="7A70D545" w14:textId="77777777" w:rsidR="00A30F6F" w:rsidRPr="00BE656F" w:rsidRDefault="00A30F6F" w:rsidP="001D33CA">
      <w:pPr>
        <w:pStyle w:val="ListParagraph"/>
        <w:spacing w:after="0" w:line="276" w:lineRule="auto"/>
        <w:ind w:left="0" w:firstLine="709"/>
        <w:jc w:val="both"/>
        <w:rPr>
          <w:rFonts w:ascii="Times New Roman" w:hAnsi="Times New Roman" w:cs="Times New Roman"/>
          <w:sz w:val="24"/>
          <w:szCs w:val="24"/>
        </w:rPr>
      </w:pPr>
    </w:p>
    <w:p w14:paraId="46D42752" w14:textId="10B2A5CE" w:rsidR="005D71AF" w:rsidRPr="00BE656F" w:rsidRDefault="007E4F98" w:rsidP="004F15F5">
      <w:pPr>
        <w:pStyle w:val="Heading2"/>
        <w:numPr>
          <w:ilvl w:val="0"/>
          <w:numId w:val="8"/>
        </w:numPr>
        <w:shd w:val="clear" w:color="auto" w:fill="E2EFD9" w:themeFill="accent6" w:themeFillTint="33"/>
        <w:spacing w:before="0" w:line="276" w:lineRule="auto"/>
        <w:ind w:left="0" w:firstLine="709"/>
        <w:jc w:val="both"/>
        <w:rPr>
          <w:rFonts w:ascii="Times New Roman" w:hAnsi="Times New Roman" w:cs="Times New Roman"/>
          <w:b/>
          <w:i/>
          <w:color w:val="auto"/>
        </w:rPr>
      </w:pPr>
      <w:bookmarkStart w:id="49" w:name="_Toc202730025"/>
      <w:r w:rsidRPr="00BE656F">
        <w:rPr>
          <w:rFonts w:ascii="Times New Roman" w:hAnsi="Times New Roman" w:cs="Times New Roman"/>
          <w:b/>
          <w:i/>
          <w:color w:val="auto"/>
        </w:rPr>
        <w:t xml:space="preserve">Мерки във връзка с наблюдението по време на прилагането на </w:t>
      </w:r>
      <w:r w:rsidR="005B5EB3">
        <w:rPr>
          <w:rFonts w:ascii="Times New Roman" w:hAnsi="Times New Roman" w:cs="Times New Roman"/>
          <w:b/>
          <w:i/>
          <w:color w:val="auto"/>
        </w:rPr>
        <w:t>ИПЕК</w:t>
      </w:r>
      <w:bookmarkEnd w:id="49"/>
    </w:p>
    <w:p w14:paraId="53F547A9" w14:textId="77777777" w:rsidR="00B80828" w:rsidRPr="00BE656F" w:rsidRDefault="00B80828" w:rsidP="001D33CA">
      <w:pPr>
        <w:pStyle w:val="ListParagraph"/>
        <w:spacing w:after="0" w:line="276" w:lineRule="auto"/>
        <w:ind w:left="0" w:firstLine="709"/>
        <w:jc w:val="both"/>
        <w:rPr>
          <w:rFonts w:ascii="Times New Roman" w:hAnsi="Times New Roman" w:cs="Times New Roman"/>
          <w:i/>
          <w:sz w:val="24"/>
          <w:szCs w:val="24"/>
          <w:highlight w:val="yellow"/>
        </w:rPr>
      </w:pPr>
    </w:p>
    <w:p w14:paraId="03CAF431" w14:textId="76B45748" w:rsidR="00B80828" w:rsidRPr="00BE656F" w:rsidRDefault="00B80828" w:rsidP="001D33CA">
      <w:pPr>
        <w:pStyle w:val="ListParagraph"/>
        <w:spacing w:after="0" w:line="276" w:lineRule="auto"/>
        <w:ind w:left="0" w:firstLine="709"/>
        <w:jc w:val="both"/>
        <w:rPr>
          <w:rFonts w:ascii="Times New Roman" w:hAnsi="Times New Roman" w:cs="Times New Roman"/>
          <w:i/>
          <w:sz w:val="24"/>
          <w:szCs w:val="24"/>
        </w:rPr>
      </w:pPr>
      <w:r w:rsidRPr="00BE656F">
        <w:rPr>
          <w:rFonts w:ascii="Times New Roman" w:hAnsi="Times New Roman" w:cs="Times New Roman"/>
          <w:i/>
          <w:sz w:val="24"/>
          <w:szCs w:val="24"/>
        </w:rPr>
        <w:t xml:space="preserve">Съобразно резултатите и изводите от прогнозите за въздействие върху околната среда и човешкото здраве в резултат на прилагането на </w:t>
      </w:r>
      <w:r w:rsidR="005B5EB3">
        <w:rPr>
          <w:rFonts w:ascii="Times New Roman" w:hAnsi="Times New Roman" w:cs="Times New Roman"/>
          <w:i/>
          <w:sz w:val="24"/>
          <w:szCs w:val="24"/>
        </w:rPr>
        <w:t>ИПЕК</w:t>
      </w:r>
      <w:r w:rsidRPr="00BE656F">
        <w:rPr>
          <w:rFonts w:ascii="Times New Roman" w:hAnsi="Times New Roman" w:cs="Times New Roman"/>
          <w:i/>
          <w:sz w:val="24"/>
          <w:szCs w:val="24"/>
        </w:rPr>
        <w:t>, ще бъдат препоръчани мерки, въз основа на които да се извършва наблюдението и контролът на въздействието върху околната среда и човешкото здраве в резултат на прилагането на п</w:t>
      </w:r>
      <w:r w:rsidR="00BE656F" w:rsidRPr="00BE656F">
        <w:rPr>
          <w:rFonts w:ascii="Times New Roman" w:hAnsi="Times New Roman" w:cs="Times New Roman"/>
          <w:i/>
          <w:sz w:val="24"/>
          <w:szCs w:val="24"/>
        </w:rPr>
        <w:t>лана</w:t>
      </w:r>
      <w:r w:rsidRPr="00BE656F">
        <w:rPr>
          <w:rFonts w:ascii="Times New Roman" w:hAnsi="Times New Roman" w:cs="Times New Roman"/>
          <w:i/>
          <w:sz w:val="24"/>
          <w:szCs w:val="24"/>
        </w:rPr>
        <w:t>. Мерките ще съдържат измерими индикатори, по чиято стойност ще се определя наличието или липсата на значително въздействие върху околната среда и човешкото здраве при прилагането на п</w:t>
      </w:r>
      <w:r w:rsidR="00BE656F" w:rsidRPr="00BE656F">
        <w:rPr>
          <w:rFonts w:ascii="Times New Roman" w:hAnsi="Times New Roman" w:cs="Times New Roman"/>
          <w:i/>
          <w:sz w:val="24"/>
          <w:szCs w:val="24"/>
        </w:rPr>
        <w:t>ла</w:t>
      </w:r>
      <w:r w:rsidR="001830AE">
        <w:rPr>
          <w:rFonts w:ascii="Times New Roman" w:hAnsi="Times New Roman" w:cs="Times New Roman"/>
          <w:i/>
          <w:sz w:val="24"/>
          <w:szCs w:val="24"/>
        </w:rPr>
        <w:t>н</w:t>
      </w:r>
      <w:r w:rsidR="00BE656F" w:rsidRPr="00BE656F">
        <w:rPr>
          <w:rFonts w:ascii="Times New Roman" w:hAnsi="Times New Roman" w:cs="Times New Roman"/>
          <w:i/>
          <w:sz w:val="24"/>
          <w:szCs w:val="24"/>
        </w:rPr>
        <w:t>а</w:t>
      </w:r>
      <w:r w:rsidRPr="00BE656F">
        <w:rPr>
          <w:rFonts w:ascii="Times New Roman" w:hAnsi="Times New Roman" w:cs="Times New Roman"/>
          <w:i/>
          <w:sz w:val="24"/>
          <w:szCs w:val="24"/>
        </w:rPr>
        <w:t>.</w:t>
      </w:r>
    </w:p>
    <w:p w14:paraId="1C06AE74" w14:textId="77777777" w:rsidR="00A4785E" w:rsidRPr="00BE656F" w:rsidRDefault="00A4785E" w:rsidP="001D33CA">
      <w:pPr>
        <w:pStyle w:val="ListParagraph"/>
        <w:spacing w:after="0" w:line="276" w:lineRule="auto"/>
        <w:ind w:left="0" w:firstLine="709"/>
        <w:jc w:val="both"/>
        <w:rPr>
          <w:rFonts w:ascii="Times New Roman" w:hAnsi="Times New Roman" w:cs="Times New Roman"/>
          <w:i/>
          <w:sz w:val="24"/>
          <w:szCs w:val="24"/>
          <w:highlight w:val="yellow"/>
        </w:rPr>
      </w:pPr>
    </w:p>
    <w:p w14:paraId="475F69E3" w14:textId="77777777" w:rsidR="007E4F98" w:rsidRPr="00BE656F" w:rsidRDefault="007E4F98" w:rsidP="004F15F5">
      <w:pPr>
        <w:pStyle w:val="Heading2"/>
        <w:numPr>
          <w:ilvl w:val="0"/>
          <w:numId w:val="8"/>
        </w:numPr>
        <w:shd w:val="clear" w:color="auto" w:fill="E2EFD9" w:themeFill="accent6" w:themeFillTint="33"/>
        <w:spacing w:before="0" w:line="276" w:lineRule="auto"/>
        <w:ind w:left="0" w:firstLine="709"/>
        <w:jc w:val="both"/>
        <w:rPr>
          <w:rFonts w:ascii="Times New Roman" w:hAnsi="Times New Roman" w:cs="Times New Roman"/>
          <w:b/>
          <w:i/>
          <w:color w:val="auto"/>
        </w:rPr>
      </w:pPr>
      <w:bookmarkStart w:id="50" w:name="_Toc202730026"/>
      <w:r w:rsidRPr="00BE656F">
        <w:rPr>
          <w:rFonts w:ascii="Times New Roman" w:hAnsi="Times New Roman" w:cs="Times New Roman"/>
          <w:b/>
          <w:i/>
          <w:color w:val="auto"/>
        </w:rPr>
        <w:t>Заключение на екологичната оценка</w:t>
      </w:r>
      <w:bookmarkEnd w:id="50"/>
    </w:p>
    <w:p w14:paraId="326E09D3" w14:textId="77777777" w:rsidR="00CE0534" w:rsidRPr="00BE656F" w:rsidRDefault="00CE0534" w:rsidP="001D33CA">
      <w:pPr>
        <w:spacing w:after="0" w:line="276" w:lineRule="auto"/>
        <w:ind w:firstLine="709"/>
        <w:jc w:val="both"/>
        <w:rPr>
          <w:rFonts w:ascii="Times New Roman" w:hAnsi="Times New Roman" w:cs="Times New Roman"/>
          <w:i/>
          <w:sz w:val="24"/>
          <w:szCs w:val="24"/>
          <w:highlight w:val="yellow"/>
        </w:rPr>
      </w:pPr>
    </w:p>
    <w:p w14:paraId="427BADC2" w14:textId="388ECEA0" w:rsidR="00CE0534" w:rsidRPr="00BE656F" w:rsidRDefault="00CE0534" w:rsidP="001D33CA">
      <w:pPr>
        <w:spacing w:after="0" w:line="276" w:lineRule="auto"/>
        <w:ind w:firstLine="709"/>
        <w:jc w:val="both"/>
        <w:rPr>
          <w:rFonts w:ascii="Times New Roman" w:hAnsi="Times New Roman" w:cs="Times New Roman"/>
          <w:i/>
          <w:sz w:val="24"/>
          <w:szCs w:val="24"/>
        </w:rPr>
      </w:pPr>
      <w:r w:rsidRPr="00BE656F">
        <w:rPr>
          <w:rFonts w:ascii="Times New Roman" w:hAnsi="Times New Roman" w:cs="Times New Roman"/>
          <w:i/>
          <w:sz w:val="24"/>
          <w:szCs w:val="24"/>
        </w:rPr>
        <w:t xml:space="preserve">Въз основа на резултатите от прогнозите, които ще бъдат направени в Доклада за ЕО, както и получените становища по време на процедурата по ЕО, екипът от експерти ще направи своето заключение относно предполагаемото значително въздействие на </w:t>
      </w:r>
      <w:r w:rsidR="005B5EB3">
        <w:rPr>
          <w:rFonts w:ascii="Times New Roman" w:hAnsi="Times New Roman" w:cs="Times New Roman"/>
          <w:i/>
          <w:sz w:val="24"/>
          <w:szCs w:val="24"/>
        </w:rPr>
        <w:t>ИПЕК</w:t>
      </w:r>
      <w:r w:rsidRPr="00BE656F">
        <w:rPr>
          <w:rFonts w:ascii="Times New Roman" w:hAnsi="Times New Roman" w:cs="Times New Roman"/>
          <w:i/>
          <w:sz w:val="24"/>
          <w:szCs w:val="24"/>
        </w:rPr>
        <w:t xml:space="preserve"> върху околната среда и човешкото здраве.</w:t>
      </w:r>
    </w:p>
    <w:p w14:paraId="1DC5B79B" w14:textId="77777777" w:rsidR="00CE0534" w:rsidRPr="001830AE" w:rsidRDefault="00CE0534" w:rsidP="001D33CA">
      <w:pPr>
        <w:spacing w:after="0" w:line="276" w:lineRule="auto"/>
        <w:ind w:firstLine="709"/>
        <w:jc w:val="both"/>
        <w:rPr>
          <w:rFonts w:ascii="Times New Roman" w:hAnsi="Times New Roman" w:cs="Times New Roman"/>
          <w:i/>
          <w:sz w:val="24"/>
          <w:szCs w:val="24"/>
          <w:highlight w:val="yellow"/>
        </w:rPr>
      </w:pPr>
    </w:p>
    <w:p w14:paraId="45217DC4" w14:textId="75375020" w:rsidR="007E4F98" w:rsidRPr="001830AE" w:rsidRDefault="007E4F98" w:rsidP="004F15F5">
      <w:pPr>
        <w:pStyle w:val="Heading2"/>
        <w:numPr>
          <w:ilvl w:val="0"/>
          <w:numId w:val="8"/>
        </w:numPr>
        <w:shd w:val="clear" w:color="auto" w:fill="E2EFD9" w:themeFill="accent6" w:themeFillTint="33"/>
        <w:spacing w:before="0" w:line="276" w:lineRule="auto"/>
        <w:ind w:left="0" w:firstLine="709"/>
        <w:jc w:val="both"/>
        <w:rPr>
          <w:rFonts w:ascii="Times New Roman" w:hAnsi="Times New Roman" w:cs="Times New Roman"/>
          <w:b/>
          <w:i/>
          <w:color w:val="auto"/>
        </w:rPr>
      </w:pPr>
      <w:bookmarkStart w:id="51" w:name="_Toc202730027"/>
      <w:r w:rsidRPr="001830AE">
        <w:rPr>
          <w:rFonts w:ascii="Times New Roman" w:hAnsi="Times New Roman" w:cs="Times New Roman"/>
          <w:b/>
          <w:i/>
          <w:color w:val="auto"/>
        </w:rPr>
        <w:t xml:space="preserve">Справка за резултатите от проведените консултации в процеса на изготвяне на </w:t>
      </w:r>
      <w:r w:rsidR="005B5EB3">
        <w:rPr>
          <w:rFonts w:ascii="Times New Roman" w:hAnsi="Times New Roman" w:cs="Times New Roman"/>
          <w:b/>
          <w:i/>
          <w:color w:val="auto"/>
        </w:rPr>
        <w:t>ИПЕК</w:t>
      </w:r>
      <w:r w:rsidR="00CE0534" w:rsidRPr="001830AE">
        <w:rPr>
          <w:rFonts w:ascii="Times New Roman" w:hAnsi="Times New Roman" w:cs="Times New Roman"/>
          <w:b/>
          <w:i/>
          <w:color w:val="auto"/>
        </w:rPr>
        <w:t xml:space="preserve"> </w:t>
      </w:r>
      <w:r w:rsidRPr="001830AE">
        <w:rPr>
          <w:rFonts w:ascii="Times New Roman" w:hAnsi="Times New Roman" w:cs="Times New Roman"/>
          <w:b/>
          <w:i/>
          <w:color w:val="auto"/>
        </w:rPr>
        <w:t>и извършване на екологичната оценка</w:t>
      </w:r>
      <w:bookmarkEnd w:id="51"/>
    </w:p>
    <w:p w14:paraId="30E2947B" w14:textId="77777777" w:rsidR="00DE1D01" w:rsidRPr="001830AE" w:rsidRDefault="00DE1D01" w:rsidP="001D33CA">
      <w:pPr>
        <w:pStyle w:val="ListParagraph"/>
        <w:spacing w:after="0" w:line="276" w:lineRule="auto"/>
        <w:ind w:left="0" w:firstLine="709"/>
        <w:jc w:val="both"/>
        <w:rPr>
          <w:rFonts w:ascii="Times New Roman" w:hAnsi="Times New Roman" w:cs="Times New Roman"/>
          <w:sz w:val="24"/>
          <w:szCs w:val="24"/>
        </w:rPr>
      </w:pPr>
      <w:bookmarkStart w:id="52" w:name="_Hlk30286970"/>
    </w:p>
    <w:bookmarkEnd w:id="52"/>
    <w:p w14:paraId="7F670913" w14:textId="77777777" w:rsidR="00105DFC" w:rsidRPr="001830AE" w:rsidRDefault="00DE1D01" w:rsidP="001D33CA">
      <w:pPr>
        <w:pStyle w:val="ListParagraph"/>
        <w:spacing w:after="0" w:line="276" w:lineRule="auto"/>
        <w:ind w:left="0" w:firstLine="709"/>
        <w:jc w:val="both"/>
        <w:rPr>
          <w:rFonts w:ascii="Times New Roman" w:hAnsi="Times New Roman" w:cs="Times New Roman"/>
          <w:i/>
          <w:sz w:val="24"/>
          <w:szCs w:val="24"/>
        </w:rPr>
      </w:pPr>
      <w:r w:rsidRPr="001830AE">
        <w:rPr>
          <w:rFonts w:ascii="Times New Roman" w:hAnsi="Times New Roman" w:cs="Times New Roman"/>
          <w:i/>
          <w:sz w:val="24"/>
          <w:szCs w:val="24"/>
        </w:rPr>
        <w:t>В точката ще бъдат описани всички получени в хода на процедурата по екологична оценка становища, както и начина им на отразяване в Доклада за екологична оценка и мотивите за това.</w:t>
      </w:r>
    </w:p>
    <w:p w14:paraId="2ED4084D" w14:textId="77777777" w:rsidR="00CE0534" w:rsidRPr="001830AE" w:rsidRDefault="00CE0534" w:rsidP="001D33CA">
      <w:pPr>
        <w:pStyle w:val="ListParagraph"/>
        <w:spacing w:after="0" w:line="276" w:lineRule="auto"/>
        <w:ind w:left="0" w:firstLine="709"/>
        <w:jc w:val="both"/>
        <w:rPr>
          <w:rFonts w:ascii="Times New Roman" w:hAnsi="Times New Roman" w:cs="Times New Roman"/>
          <w:i/>
          <w:sz w:val="24"/>
          <w:szCs w:val="24"/>
        </w:rPr>
      </w:pPr>
    </w:p>
    <w:p w14:paraId="174F491E" w14:textId="77777777" w:rsidR="007E4F98" w:rsidRPr="001830AE" w:rsidRDefault="003D5D2D" w:rsidP="004F15F5">
      <w:pPr>
        <w:pStyle w:val="Heading2"/>
        <w:numPr>
          <w:ilvl w:val="0"/>
          <w:numId w:val="8"/>
        </w:numPr>
        <w:shd w:val="clear" w:color="auto" w:fill="E2EFD9" w:themeFill="accent6" w:themeFillTint="33"/>
        <w:spacing w:before="0" w:line="276" w:lineRule="auto"/>
        <w:ind w:left="0" w:firstLine="709"/>
        <w:jc w:val="both"/>
        <w:rPr>
          <w:rFonts w:ascii="Times New Roman" w:hAnsi="Times New Roman" w:cs="Times New Roman"/>
          <w:b/>
          <w:i/>
          <w:color w:val="auto"/>
        </w:rPr>
      </w:pPr>
      <w:bookmarkStart w:id="53" w:name="_Toc202730028"/>
      <w:r w:rsidRPr="001830AE">
        <w:rPr>
          <w:rFonts w:ascii="Times New Roman" w:hAnsi="Times New Roman" w:cs="Times New Roman"/>
          <w:b/>
          <w:i/>
          <w:color w:val="auto"/>
        </w:rPr>
        <w:t>Н</w:t>
      </w:r>
      <w:r w:rsidR="007E4F98" w:rsidRPr="001830AE">
        <w:rPr>
          <w:rFonts w:ascii="Times New Roman" w:hAnsi="Times New Roman" w:cs="Times New Roman"/>
          <w:b/>
          <w:i/>
          <w:color w:val="auto"/>
        </w:rPr>
        <w:t>етехническо резюме на екологичната оценка</w:t>
      </w:r>
      <w:bookmarkEnd w:id="53"/>
      <w:r w:rsidR="007E4F98" w:rsidRPr="001830AE">
        <w:rPr>
          <w:rFonts w:ascii="Times New Roman" w:hAnsi="Times New Roman" w:cs="Times New Roman"/>
          <w:b/>
          <w:i/>
          <w:color w:val="auto"/>
        </w:rPr>
        <w:t xml:space="preserve"> </w:t>
      </w:r>
    </w:p>
    <w:p w14:paraId="57B4C0E4" w14:textId="77777777" w:rsidR="000354DD" w:rsidRPr="001830AE" w:rsidRDefault="000354DD" w:rsidP="001D33CA">
      <w:pPr>
        <w:pStyle w:val="ListParagraph"/>
        <w:spacing w:after="0" w:line="276" w:lineRule="auto"/>
        <w:jc w:val="both"/>
        <w:rPr>
          <w:rFonts w:ascii="Times New Roman" w:hAnsi="Times New Roman" w:cs="Times New Roman"/>
          <w:sz w:val="24"/>
          <w:szCs w:val="24"/>
        </w:rPr>
      </w:pPr>
    </w:p>
    <w:p w14:paraId="4C58BF1F" w14:textId="77777777" w:rsidR="00105DFC" w:rsidRPr="001830AE" w:rsidRDefault="00DE1D01" w:rsidP="001D33CA">
      <w:pPr>
        <w:pStyle w:val="ListParagraph"/>
        <w:spacing w:after="0" w:line="276" w:lineRule="auto"/>
        <w:ind w:left="0" w:firstLine="709"/>
        <w:jc w:val="both"/>
        <w:rPr>
          <w:rFonts w:ascii="Times New Roman" w:hAnsi="Times New Roman" w:cs="Times New Roman"/>
          <w:i/>
          <w:sz w:val="24"/>
          <w:szCs w:val="24"/>
        </w:rPr>
      </w:pPr>
      <w:r w:rsidRPr="001830AE">
        <w:rPr>
          <w:rFonts w:ascii="Times New Roman" w:hAnsi="Times New Roman" w:cs="Times New Roman"/>
          <w:i/>
          <w:sz w:val="24"/>
          <w:szCs w:val="24"/>
        </w:rPr>
        <w:t xml:space="preserve">Като отделно приложение към Доклада за </w:t>
      </w:r>
      <w:r w:rsidR="008F6EED" w:rsidRPr="001830AE">
        <w:rPr>
          <w:rFonts w:ascii="Times New Roman" w:hAnsi="Times New Roman" w:cs="Times New Roman"/>
          <w:i/>
          <w:sz w:val="24"/>
          <w:szCs w:val="24"/>
        </w:rPr>
        <w:t>ЕО</w:t>
      </w:r>
      <w:r w:rsidRPr="001830AE">
        <w:rPr>
          <w:rFonts w:ascii="Times New Roman" w:hAnsi="Times New Roman" w:cs="Times New Roman"/>
          <w:i/>
          <w:sz w:val="24"/>
          <w:szCs w:val="24"/>
        </w:rPr>
        <w:t xml:space="preserve"> ще бъде изготвено нетехническо резюме, </w:t>
      </w:r>
      <w:r w:rsidR="00CE0534" w:rsidRPr="001830AE">
        <w:rPr>
          <w:rFonts w:ascii="Times New Roman" w:hAnsi="Times New Roman" w:cs="Times New Roman"/>
          <w:i/>
          <w:sz w:val="24"/>
          <w:szCs w:val="24"/>
        </w:rPr>
        <w:t>в което ще бъде представена съкратена информация по основните раздели на Доклада за ЕО, несъдъжаща технически термини, при спазване на разпоредбата на</w:t>
      </w:r>
      <w:r w:rsidR="008F6EED" w:rsidRPr="001830AE">
        <w:rPr>
          <w:rFonts w:ascii="Times New Roman" w:hAnsi="Times New Roman" w:cs="Times New Roman"/>
          <w:i/>
          <w:sz w:val="24"/>
          <w:szCs w:val="24"/>
        </w:rPr>
        <w:t xml:space="preserve"> чл.17, ал.3 от Наредбата за ЕО. </w:t>
      </w:r>
    </w:p>
    <w:p w14:paraId="03A8EF5E" w14:textId="77777777" w:rsidR="00CE0534" w:rsidRPr="001830AE" w:rsidRDefault="00CE0534" w:rsidP="001D33CA">
      <w:pPr>
        <w:pStyle w:val="ListParagraph"/>
        <w:spacing w:after="0" w:line="276" w:lineRule="auto"/>
        <w:ind w:left="0" w:firstLine="709"/>
        <w:jc w:val="both"/>
        <w:rPr>
          <w:rFonts w:ascii="Times New Roman" w:hAnsi="Times New Roman" w:cs="Times New Roman"/>
          <w:i/>
          <w:sz w:val="24"/>
          <w:szCs w:val="24"/>
          <w:highlight w:val="yellow"/>
        </w:rPr>
      </w:pPr>
    </w:p>
    <w:p w14:paraId="02F39A3B" w14:textId="77777777" w:rsidR="000E0DAB" w:rsidRPr="001830AE" w:rsidRDefault="003D5D2D" w:rsidP="004F15F5">
      <w:pPr>
        <w:pStyle w:val="Heading2"/>
        <w:numPr>
          <w:ilvl w:val="0"/>
          <w:numId w:val="8"/>
        </w:numPr>
        <w:shd w:val="clear" w:color="auto" w:fill="E2EFD9" w:themeFill="accent6" w:themeFillTint="33"/>
        <w:spacing w:before="0" w:line="276" w:lineRule="auto"/>
        <w:ind w:left="0" w:firstLine="709"/>
        <w:jc w:val="both"/>
        <w:rPr>
          <w:rFonts w:ascii="Times New Roman" w:hAnsi="Times New Roman" w:cs="Times New Roman"/>
          <w:b/>
          <w:i/>
          <w:color w:val="auto"/>
        </w:rPr>
      </w:pPr>
      <w:bookmarkStart w:id="54" w:name="_Toc202730029"/>
      <w:r w:rsidRPr="001830AE">
        <w:rPr>
          <w:rFonts w:ascii="Times New Roman" w:hAnsi="Times New Roman" w:cs="Times New Roman"/>
          <w:b/>
          <w:i/>
          <w:color w:val="auto"/>
        </w:rPr>
        <w:t>П</w:t>
      </w:r>
      <w:r w:rsidR="007E4F98" w:rsidRPr="001830AE">
        <w:rPr>
          <w:rFonts w:ascii="Times New Roman" w:hAnsi="Times New Roman" w:cs="Times New Roman"/>
          <w:b/>
          <w:i/>
          <w:color w:val="auto"/>
        </w:rPr>
        <w:t>риложения към доклада за екологична оценка</w:t>
      </w:r>
      <w:bookmarkEnd w:id="54"/>
      <w:r w:rsidR="007E4F98" w:rsidRPr="001830AE">
        <w:rPr>
          <w:rFonts w:ascii="Times New Roman" w:hAnsi="Times New Roman" w:cs="Times New Roman"/>
          <w:b/>
          <w:i/>
          <w:color w:val="auto"/>
        </w:rPr>
        <w:t xml:space="preserve"> </w:t>
      </w:r>
    </w:p>
    <w:p w14:paraId="56707BEF" w14:textId="77777777" w:rsidR="005B7FDD" w:rsidRPr="001830AE" w:rsidRDefault="005B7FDD" w:rsidP="001D33CA">
      <w:pPr>
        <w:pStyle w:val="ListParagraph"/>
        <w:spacing w:after="0" w:line="276" w:lineRule="auto"/>
        <w:jc w:val="both"/>
        <w:rPr>
          <w:rFonts w:ascii="Times New Roman" w:hAnsi="Times New Roman" w:cs="Times New Roman"/>
          <w:sz w:val="24"/>
          <w:szCs w:val="24"/>
          <w:highlight w:val="yellow"/>
        </w:rPr>
      </w:pPr>
    </w:p>
    <w:p w14:paraId="344F6A00" w14:textId="77777777" w:rsidR="004B4B41" w:rsidRPr="001830AE" w:rsidRDefault="004B4B41" w:rsidP="004F15F5">
      <w:pPr>
        <w:pStyle w:val="ListParagraph"/>
        <w:numPr>
          <w:ilvl w:val="0"/>
          <w:numId w:val="7"/>
        </w:numPr>
        <w:spacing w:after="0" w:line="276" w:lineRule="auto"/>
        <w:ind w:left="993"/>
        <w:jc w:val="both"/>
        <w:rPr>
          <w:rFonts w:ascii="Times New Roman" w:eastAsia="Calibri" w:hAnsi="Times New Roman" w:cs="Times New Roman"/>
          <w:sz w:val="24"/>
          <w:szCs w:val="24"/>
        </w:rPr>
      </w:pPr>
      <w:r w:rsidRPr="001830AE">
        <w:rPr>
          <w:rFonts w:ascii="Times New Roman" w:eastAsia="Calibri" w:hAnsi="Times New Roman" w:cs="Times New Roman"/>
          <w:sz w:val="24"/>
          <w:szCs w:val="24"/>
        </w:rPr>
        <w:t>Табличен списък на експертите и ръководителя изготвили доклада за ЕО, в който всеки експерт удостоверява с подпис разработените от него раздели на доклад;</w:t>
      </w:r>
    </w:p>
    <w:p w14:paraId="65A25B3D" w14:textId="77777777" w:rsidR="004B4B41" w:rsidRPr="001830AE" w:rsidRDefault="004B4B41" w:rsidP="004F15F5">
      <w:pPr>
        <w:pStyle w:val="ListParagraph"/>
        <w:numPr>
          <w:ilvl w:val="0"/>
          <w:numId w:val="7"/>
        </w:numPr>
        <w:spacing w:after="0" w:line="276" w:lineRule="auto"/>
        <w:ind w:left="993"/>
        <w:jc w:val="both"/>
        <w:rPr>
          <w:rFonts w:ascii="Times New Roman" w:eastAsia="Calibri" w:hAnsi="Times New Roman" w:cs="Times New Roman"/>
          <w:sz w:val="24"/>
          <w:szCs w:val="24"/>
        </w:rPr>
      </w:pPr>
      <w:r w:rsidRPr="001830AE">
        <w:rPr>
          <w:rFonts w:ascii="Times New Roman" w:eastAsia="Calibri" w:hAnsi="Times New Roman" w:cs="Times New Roman"/>
          <w:sz w:val="24"/>
          <w:szCs w:val="24"/>
        </w:rPr>
        <w:t>Собственоръчно подписани декларации съгласно изискванията на чл. 16, ал. 1 от Наредбата за ЕО;</w:t>
      </w:r>
    </w:p>
    <w:p w14:paraId="209319D0" w14:textId="77777777" w:rsidR="004B4B41" w:rsidRPr="001830AE" w:rsidRDefault="004B4B41" w:rsidP="004F15F5">
      <w:pPr>
        <w:pStyle w:val="ListParagraph"/>
        <w:numPr>
          <w:ilvl w:val="0"/>
          <w:numId w:val="7"/>
        </w:numPr>
        <w:spacing w:after="0" w:line="276" w:lineRule="auto"/>
        <w:ind w:left="993"/>
        <w:jc w:val="both"/>
        <w:rPr>
          <w:rFonts w:ascii="Times New Roman" w:eastAsia="Calibri" w:hAnsi="Times New Roman" w:cs="Times New Roman"/>
          <w:sz w:val="24"/>
          <w:szCs w:val="24"/>
        </w:rPr>
      </w:pPr>
      <w:r w:rsidRPr="001830AE">
        <w:rPr>
          <w:rFonts w:ascii="Times New Roman" w:eastAsia="Calibri" w:hAnsi="Times New Roman" w:cs="Times New Roman"/>
          <w:sz w:val="24"/>
          <w:szCs w:val="24"/>
        </w:rPr>
        <w:t>Копия на всички постъпили становища в резултат на консултациите;</w:t>
      </w:r>
    </w:p>
    <w:p w14:paraId="4652148F" w14:textId="4E8C6760" w:rsidR="004B4B41" w:rsidRDefault="00BE224A" w:rsidP="004F15F5">
      <w:pPr>
        <w:pStyle w:val="ListParagraph"/>
        <w:numPr>
          <w:ilvl w:val="0"/>
          <w:numId w:val="7"/>
        </w:numPr>
        <w:spacing w:after="0" w:line="276" w:lineRule="auto"/>
        <w:ind w:left="993"/>
        <w:jc w:val="both"/>
        <w:rPr>
          <w:rFonts w:ascii="Times New Roman" w:eastAsia="Calibri" w:hAnsi="Times New Roman" w:cs="Times New Roman"/>
          <w:sz w:val="24"/>
          <w:szCs w:val="24"/>
        </w:rPr>
      </w:pPr>
      <w:r>
        <w:rPr>
          <w:rFonts w:ascii="Times New Roman" w:eastAsia="Calibri" w:hAnsi="Times New Roman" w:cs="Times New Roman"/>
          <w:sz w:val="24"/>
          <w:szCs w:val="24"/>
        </w:rPr>
        <w:t>Н</w:t>
      </w:r>
      <w:r w:rsidR="004B4B41" w:rsidRPr="001830AE">
        <w:rPr>
          <w:rFonts w:ascii="Times New Roman" w:eastAsia="Calibri" w:hAnsi="Times New Roman" w:cs="Times New Roman"/>
          <w:sz w:val="24"/>
          <w:szCs w:val="24"/>
        </w:rPr>
        <w:t xml:space="preserve">етехническо резюме на доклада за екологична оценка, </w:t>
      </w:r>
      <w:r>
        <w:rPr>
          <w:rFonts w:ascii="Times New Roman" w:eastAsia="Calibri" w:hAnsi="Times New Roman" w:cs="Times New Roman"/>
          <w:sz w:val="24"/>
          <w:szCs w:val="24"/>
        </w:rPr>
        <w:t>п</w:t>
      </w:r>
      <w:r w:rsidRPr="001830AE">
        <w:rPr>
          <w:rFonts w:ascii="Times New Roman" w:eastAsia="Calibri" w:hAnsi="Times New Roman" w:cs="Times New Roman"/>
          <w:sz w:val="24"/>
          <w:szCs w:val="24"/>
        </w:rPr>
        <w:t>од формата на самостоятелно приложение</w:t>
      </w:r>
      <w:r>
        <w:rPr>
          <w:rFonts w:ascii="Times New Roman" w:eastAsia="Calibri" w:hAnsi="Times New Roman" w:cs="Times New Roman"/>
          <w:sz w:val="24"/>
          <w:szCs w:val="24"/>
        </w:rPr>
        <w:t>,</w:t>
      </w:r>
      <w:r w:rsidRPr="001830AE">
        <w:rPr>
          <w:rFonts w:ascii="Times New Roman" w:eastAsia="Calibri" w:hAnsi="Times New Roman" w:cs="Times New Roman"/>
          <w:sz w:val="24"/>
          <w:szCs w:val="24"/>
        </w:rPr>
        <w:t xml:space="preserve"> </w:t>
      </w:r>
      <w:r w:rsidR="004B4B41" w:rsidRPr="001830AE">
        <w:rPr>
          <w:rFonts w:ascii="Times New Roman" w:eastAsia="Calibri" w:hAnsi="Times New Roman" w:cs="Times New Roman"/>
          <w:sz w:val="24"/>
          <w:szCs w:val="24"/>
        </w:rPr>
        <w:t>изготвено на достъпен за обществеността език, в обем не по-малък от 10 на сто от обема на доклада. Освен текстовата част резюмето ще съдържа необходимите и налични нагледни материали (карти, снимки, схеми)</w:t>
      </w:r>
      <w:r w:rsidR="00D84D03" w:rsidRPr="001830AE">
        <w:rPr>
          <w:rFonts w:ascii="Times New Roman" w:eastAsia="Calibri" w:hAnsi="Times New Roman" w:cs="Times New Roman"/>
          <w:sz w:val="24"/>
          <w:szCs w:val="24"/>
        </w:rPr>
        <w:t>;</w:t>
      </w:r>
    </w:p>
    <w:p w14:paraId="09490E02" w14:textId="3F6637EF" w:rsidR="00BE224A" w:rsidRPr="001830AE" w:rsidRDefault="00BE224A" w:rsidP="004F15F5">
      <w:pPr>
        <w:pStyle w:val="ListParagraph"/>
        <w:numPr>
          <w:ilvl w:val="0"/>
          <w:numId w:val="7"/>
        </w:numPr>
        <w:spacing w:after="0" w:line="276" w:lineRule="auto"/>
        <w:ind w:left="993"/>
        <w:jc w:val="both"/>
        <w:rPr>
          <w:rFonts w:ascii="Times New Roman" w:eastAsia="Calibri" w:hAnsi="Times New Roman" w:cs="Times New Roman"/>
          <w:sz w:val="24"/>
          <w:szCs w:val="24"/>
        </w:rPr>
      </w:pPr>
      <w:r>
        <w:rPr>
          <w:rFonts w:ascii="Times New Roman" w:eastAsia="Calibri" w:hAnsi="Times New Roman" w:cs="Times New Roman"/>
          <w:sz w:val="24"/>
          <w:szCs w:val="24"/>
        </w:rPr>
        <w:t>ДОСВ, п</w:t>
      </w:r>
      <w:r w:rsidRPr="001830AE">
        <w:rPr>
          <w:rFonts w:ascii="Times New Roman" w:eastAsia="Calibri" w:hAnsi="Times New Roman" w:cs="Times New Roman"/>
          <w:sz w:val="24"/>
          <w:szCs w:val="24"/>
        </w:rPr>
        <w:t>од формата на самостоятелно приложение</w:t>
      </w:r>
      <w:r>
        <w:rPr>
          <w:rFonts w:ascii="Times New Roman" w:eastAsia="Calibri" w:hAnsi="Times New Roman" w:cs="Times New Roman"/>
          <w:sz w:val="24"/>
          <w:szCs w:val="24"/>
        </w:rPr>
        <w:t>;</w:t>
      </w:r>
    </w:p>
    <w:p w14:paraId="55EB7D2D" w14:textId="63C48A91" w:rsidR="00115372" w:rsidRPr="001830AE" w:rsidRDefault="00D84D03" w:rsidP="004F15F5">
      <w:pPr>
        <w:pStyle w:val="ListParagraph"/>
        <w:numPr>
          <w:ilvl w:val="0"/>
          <w:numId w:val="7"/>
        </w:numPr>
        <w:spacing w:after="0" w:line="276" w:lineRule="auto"/>
        <w:ind w:left="993"/>
        <w:jc w:val="both"/>
        <w:rPr>
          <w:rFonts w:ascii="Times New Roman" w:eastAsia="Calibri" w:hAnsi="Times New Roman" w:cs="Times New Roman"/>
          <w:sz w:val="24"/>
          <w:szCs w:val="24"/>
        </w:rPr>
      </w:pPr>
      <w:r w:rsidRPr="001830AE">
        <w:rPr>
          <w:rFonts w:ascii="Times New Roman" w:eastAsia="Calibri" w:hAnsi="Times New Roman" w:cs="Times New Roman"/>
          <w:sz w:val="24"/>
          <w:szCs w:val="24"/>
        </w:rPr>
        <w:t xml:space="preserve">Други приложения, свързани с екологичната оценка на </w:t>
      </w:r>
      <w:r w:rsidR="005B5EB3">
        <w:rPr>
          <w:rFonts w:ascii="Times New Roman" w:eastAsia="Calibri" w:hAnsi="Times New Roman" w:cs="Times New Roman"/>
          <w:sz w:val="24"/>
          <w:szCs w:val="24"/>
        </w:rPr>
        <w:t>ИПЕК</w:t>
      </w:r>
      <w:r w:rsidRPr="001830AE">
        <w:rPr>
          <w:rFonts w:ascii="Times New Roman" w:eastAsia="Calibri" w:hAnsi="Times New Roman" w:cs="Times New Roman"/>
          <w:sz w:val="24"/>
          <w:szCs w:val="24"/>
        </w:rPr>
        <w:t xml:space="preserve"> (при необходимост).</w:t>
      </w:r>
    </w:p>
    <w:sectPr w:rsidR="00115372" w:rsidRPr="001830AE" w:rsidSect="0042344F">
      <w:headerReference w:type="default" r:id="rId25"/>
      <w:footerReference w:type="default" r:id="rId26"/>
      <w:pgSz w:w="12240" w:h="15840" w:code="1"/>
      <w:pgMar w:top="1702"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8A19AC" w14:textId="77777777" w:rsidR="00050DB6" w:rsidRDefault="00050DB6" w:rsidP="00A10221">
      <w:pPr>
        <w:spacing w:after="0" w:line="240" w:lineRule="auto"/>
      </w:pPr>
      <w:r>
        <w:separator/>
      </w:r>
    </w:p>
  </w:endnote>
  <w:endnote w:type="continuationSeparator" w:id="0">
    <w:p w14:paraId="20F9F254" w14:textId="77777777" w:rsidR="00050DB6" w:rsidRDefault="00050DB6" w:rsidP="00A102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Yu Gothic UI">
    <w:panose1 w:val="020B0500000000000000"/>
    <w:charset w:val="80"/>
    <w:family w:val="swiss"/>
    <w:pitch w:val="variable"/>
    <w:sig w:usb0="E00002FF" w:usb1="2AC7FDFF" w:usb2="00000016" w:usb3="00000000" w:csb0="0002009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31398019"/>
      <w:docPartObj>
        <w:docPartGallery w:val="Page Numbers (Bottom of Page)"/>
        <w:docPartUnique/>
      </w:docPartObj>
    </w:sdtPr>
    <w:sdtEndPr>
      <w:rPr>
        <w:rFonts w:asciiTheme="minorHAnsi" w:hAnsiTheme="minorHAnsi" w:cstheme="minorBidi"/>
        <w:noProof/>
      </w:rPr>
    </w:sdtEndPr>
    <w:sdtContent>
      <w:p w14:paraId="1635A52D" w14:textId="77777777" w:rsidR="00786046" w:rsidRPr="00021F56" w:rsidRDefault="00786046" w:rsidP="00021F56">
        <w:pPr>
          <w:pStyle w:val="Footer"/>
          <w:jc w:val="right"/>
          <w:rPr>
            <w:rFonts w:ascii="Times New Roman" w:hAnsi="Times New Roman" w:cs="Times New Roman"/>
            <w:noProof/>
          </w:rPr>
        </w:pP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539089307"/>
      <w:docPartObj>
        <w:docPartGallery w:val="Page Numbers (Bottom of Page)"/>
        <w:docPartUnique/>
      </w:docPartObj>
    </w:sdtPr>
    <w:sdtEndPr>
      <w:rPr>
        <w:rFonts w:asciiTheme="minorHAnsi" w:hAnsiTheme="minorHAnsi" w:cstheme="minorBidi"/>
        <w:noProof/>
      </w:rPr>
    </w:sdtEndPr>
    <w:sdtContent>
      <w:p w14:paraId="18F9DEF6" w14:textId="00B94377" w:rsidR="00786046" w:rsidRPr="00A84656" w:rsidRDefault="00786046" w:rsidP="00A84656">
        <w:pPr>
          <w:pStyle w:val="Footer"/>
          <w:jc w:val="right"/>
          <w:rPr>
            <w:rFonts w:ascii="Times New Roman" w:hAnsi="Times New Roman" w:cs="Times New Roman"/>
            <w:noProof/>
          </w:rPr>
        </w:pPr>
        <w:r w:rsidRPr="002545ED">
          <w:rPr>
            <w:rFonts w:ascii="Times New Roman" w:hAnsi="Times New Roman" w:cs="Times New Roman"/>
          </w:rPr>
          <w:fldChar w:fldCharType="begin"/>
        </w:r>
        <w:r w:rsidRPr="002545ED">
          <w:rPr>
            <w:rFonts w:ascii="Times New Roman" w:hAnsi="Times New Roman" w:cs="Times New Roman"/>
          </w:rPr>
          <w:instrText xml:space="preserve"> PAGE   \* MERGEFORMAT </w:instrText>
        </w:r>
        <w:r w:rsidRPr="002545ED">
          <w:rPr>
            <w:rFonts w:ascii="Times New Roman" w:hAnsi="Times New Roman" w:cs="Times New Roman"/>
          </w:rPr>
          <w:fldChar w:fldCharType="separate"/>
        </w:r>
        <w:r w:rsidR="00691DBE">
          <w:rPr>
            <w:rFonts w:ascii="Times New Roman" w:hAnsi="Times New Roman" w:cs="Times New Roman"/>
            <w:noProof/>
          </w:rPr>
          <w:t>10</w:t>
        </w:r>
        <w:r w:rsidRPr="002545ED">
          <w:rPr>
            <w:rFonts w:ascii="Times New Roman" w:hAnsi="Times New Roman" w:cs="Times New Roman"/>
            <w:noProof/>
          </w:rPr>
          <w:fldChar w:fldCharType="end"/>
        </w:r>
      </w:p>
    </w:sdtContent>
  </w:sdt>
  <w:p w14:paraId="44EB39FD" w14:textId="1BEB4647" w:rsidR="00786046" w:rsidRPr="00423846" w:rsidRDefault="00786046" w:rsidP="00A84656">
    <w:pPr>
      <w:pStyle w:val="Footer"/>
      <w:rPr>
        <w:rFonts w:ascii="Times New Roman" w:hAnsi="Times New Roman" w:cs="Times New Roman"/>
        <w:b/>
        <w:bCs/>
        <w:noProof/>
      </w:rPr>
    </w:pPr>
    <w:r w:rsidRPr="00423846">
      <w:rPr>
        <w:rFonts w:ascii="Times New Roman" w:hAnsi="Times New Roman" w:cs="Times New Roman"/>
        <w:b/>
        <w:bCs/>
      </w:rPr>
      <w:t>ДЗЗД „Оценки н</w:t>
    </w:r>
    <w:r>
      <w:rPr>
        <w:rFonts w:ascii="Times New Roman" w:hAnsi="Times New Roman" w:cs="Times New Roman"/>
        <w:b/>
        <w:bCs/>
      </w:rPr>
      <w:t>а</w:t>
    </w:r>
    <w:r w:rsidRPr="00423846">
      <w:rPr>
        <w:rFonts w:ascii="Times New Roman" w:hAnsi="Times New Roman" w:cs="Times New Roman"/>
        <w:b/>
        <w:bCs/>
      </w:rPr>
      <w:t xml:space="preserve"> ИНПЕК“</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8B4377" w14:textId="77777777" w:rsidR="00050DB6" w:rsidRDefault="00050DB6" w:rsidP="00A10221">
      <w:pPr>
        <w:spacing w:after="0" w:line="240" w:lineRule="auto"/>
      </w:pPr>
      <w:r>
        <w:separator/>
      </w:r>
    </w:p>
  </w:footnote>
  <w:footnote w:type="continuationSeparator" w:id="0">
    <w:p w14:paraId="7D6E7B34" w14:textId="77777777" w:rsidR="00050DB6" w:rsidRDefault="00050DB6" w:rsidP="00A102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3BA62" w14:textId="77777777" w:rsidR="00786046" w:rsidRDefault="00786046" w:rsidP="00021F56">
    <w:pPr>
      <w:pBdr>
        <w:bottom w:val="single" w:sz="4" w:space="1" w:color="auto"/>
      </w:pBdr>
      <w:autoSpaceDE w:val="0"/>
      <w:autoSpaceDN w:val="0"/>
      <w:adjustRightInd w:val="0"/>
      <w:spacing w:after="0" w:line="240" w:lineRule="auto"/>
      <w:jc w:val="center"/>
      <w:rPr>
        <w:rFonts w:ascii="Times New Roman" w:hAnsi="Times New Roman" w:cs="Times New Roman"/>
        <w:bCs/>
        <w:i/>
        <w:sz w:val="24"/>
        <w:szCs w:val="24"/>
        <w:lang w:val="en-US"/>
      </w:rPr>
    </w:pPr>
    <w:r w:rsidRPr="00EA7FA3">
      <w:rPr>
        <w:rFonts w:ascii="Times New Roman" w:hAnsi="Times New Roman" w:cs="Times New Roman"/>
        <w:i/>
        <w:sz w:val="24"/>
        <w:szCs w:val="24"/>
      </w:rPr>
      <w:t xml:space="preserve">Задание за определяне на обхвата и съдържанието на Доклад за екологична оценка на </w:t>
    </w:r>
    <w:r>
      <w:rPr>
        <w:rFonts w:ascii="Times New Roman" w:hAnsi="Times New Roman" w:cs="Times New Roman"/>
        <w:i/>
        <w:sz w:val="24"/>
        <w:szCs w:val="24"/>
      </w:rPr>
      <w:t xml:space="preserve">Проект на </w:t>
    </w:r>
    <w:r>
      <w:rPr>
        <w:rFonts w:ascii="Times New Roman" w:hAnsi="Times New Roman" w:cs="Times New Roman"/>
        <w:bCs/>
        <w:i/>
        <w:sz w:val="24"/>
        <w:szCs w:val="24"/>
      </w:rPr>
      <w:t>И</w:t>
    </w:r>
    <w:r w:rsidRPr="00021F56">
      <w:rPr>
        <w:rFonts w:ascii="Times New Roman" w:hAnsi="Times New Roman" w:cs="Times New Roman"/>
        <w:bCs/>
        <w:i/>
        <w:sz w:val="24"/>
        <w:szCs w:val="24"/>
      </w:rPr>
      <w:t>нтегриран план</w:t>
    </w:r>
    <w:r>
      <w:rPr>
        <w:rFonts w:ascii="Times New Roman" w:hAnsi="Times New Roman" w:cs="Times New Roman"/>
        <w:bCs/>
        <w:i/>
        <w:sz w:val="24"/>
        <w:szCs w:val="24"/>
      </w:rPr>
      <w:t xml:space="preserve"> </w:t>
    </w:r>
    <w:r w:rsidRPr="00021F56">
      <w:rPr>
        <w:rFonts w:ascii="Times New Roman" w:hAnsi="Times New Roman" w:cs="Times New Roman"/>
        <w:bCs/>
        <w:i/>
        <w:sz w:val="24"/>
        <w:szCs w:val="24"/>
      </w:rPr>
      <w:t>в областта на ене</w:t>
    </w:r>
    <w:r>
      <w:rPr>
        <w:rFonts w:ascii="Times New Roman" w:hAnsi="Times New Roman" w:cs="Times New Roman"/>
        <w:bCs/>
        <w:i/>
        <w:sz w:val="24"/>
        <w:szCs w:val="24"/>
      </w:rPr>
      <w:t xml:space="preserve">ргетиката и климата </w:t>
    </w:r>
  </w:p>
  <w:p w14:paraId="6E8201BD" w14:textId="77777777" w:rsidR="00786046" w:rsidRPr="00021F56" w:rsidRDefault="00786046" w:rsidP="00021F56">
    <w:pPr>
      <w:pBdr>
        <w:bottom w:val="single" w:sz="4" w:space="1" w:color="auto"/>
      </w:pBdr>
      <w:autoSpaceDE w:val="0"/>
      <w:autoSpaceDN w:val="0"/>
      <w:adjustRightInd w:val="0"/>
      <w:spacing w:after="0" w:line="240" w:lineRule="auto"/>
      <w:jc w:val="center"/>
      <w:rPr>
        <w:rFonts w:ascii="Times New Roman" w:hAnsi="Times New Roman" w:cs="Times New Roman"/>
        <w:i/>
        <w:sz w:val="24"/>
        <w:szCs w:val="24"/>
        <w:lang w:val="en-US"/>
      </w:rPr>
    </w:pPr>
    <w:r>
      <w:rPr>
        <w:rFonts w:ascii="Times New Roman" w:hAnsi="Times New Roman" w:cs="Times New Roman"/>
        <w:bCs/>
        <w:i/>
        <w:sz w:val="24"/>
        <w:szCs w:val="24"/>
      </w:rPr>
      <w:t>на Р</w:t>
    </w:r>
    <w:r w:rsidRPr="00021F56">
      <w:rPr>
        <w:rFonts w:ascii="Times New Roman" w:hAnsi="Times New Roman" w:cs="Times New Roman"/>
        <w:bCs/>
        <w:i/>
        <w:sz w:val="24"/>
        <w:szCs w:val="24"/>
      </w:rPr>
      <w:t xml:space="preserve">епублика </w:t>
    </w:r>
    <w:r>
      <w:rPr>
        <w:rFonts w:ascii="Times New Roman" w:hAnsi="Times New Roman" w:cs="Times New Roman"/>
        <w:bCs/>
        <w:i/>
        <w:sz w:val="24"/>
        <w:szCs w:val="24"/>
      </w:rPr>
      <w:t>Б</w:t>
    </w:r>
    <w:r w:rsidRPr="00021F56">
      <w:rPr>
        <w:rFonts w:ascii="Times New Roman" w:hAnsi="Times New Roman" w:cs="Times New Roman"/>
        <w:bCs/>
        <w:i/>
        <w:sz w:val="24"/>
        <w:szCs w:val="24"/>
      </w:rPr>
      <w:t>ългария</w:t>
    </w:r>
    <w:r>
      <w:rPr>
        <w:rFonts w:ascii="Times New Roman" w:hAnsi="Times New Roman" w:cs="Times New Roman"/>
        <w:bCs/>
        <w:i/>
        <w:sz w:val="24"/>
        <w:szCs w:val="24"/>
      </w:rPr>
      <w:t xml:space="preserve"> - </w:t>
    </w:r>
    <w:r w:rsidRPr="00021F56">
      <w:rPr>
        <w:rFonts w:ascii="Times New Roman" w:hAnsi="Times New Roman" w:cs="Times New Roman"/>
        <w:bCs/>
        <w:i/>
        <w:sz w:val="24"/>
        <w:szCs w:val="24"/>
      </w:rPr>
      <w:t>актуализация 2024 г.</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D0746" w14:textId="77777777" w:rsidR="00786046" w:rsidRDefault="00786046" w:rsidP="00021F56">
    <w:pPr>
      <w:pBdr>
        <w:bottom w:val="single" w:sz="4" w:space="1" w:color="auto"/>
      </w:pBdr>
      <w:autoSpaceDE w:val="0"/>
      <w:autoSpaceDN w:val="0"/>
      <w:adjustRightInd w:val="0"/>
      <w:spacing w:after="0" w:line="240" w:lineRule="auto"/>
      <w:jc w:val="center"/>
      <w:rPr>
        <w:rFonts w:ascii="Times New Roman" w:hAnsi="Times New Roman" w:cs="Times New Roman"/>
        <w:bCs/>
        <w:i/>
        <w:sz w:val="24"/>
        <w:szCs w:val="24"/>
        <w:lang w:val="en-US"/>
      </w:rPr>
    </w:pPr>
    <w:r w:rsidRPr="00EA7FA3">
      <w:rPr>
        <w:rFonts w:ascii="Times New Roman" w:hAnsi="Times New Roman" w:cs="Times New Roman"/>
        <w:i/>
        <w:sz w:val="24"/>
        <w:szCs w:val="24"/>
      </w:rPr>
      <w:t xml:space="preserve">Задание за определяне на обхвата и съдържанието на Доклад за екологична оценка на </w:t>
    </w:r>
    <w:r>
      <w:rPr>
        <w:rFonts w:ascii="Times New Roman" w:hAnsi="Times New Roman" w:cs="Times New Roman"/>
        <w:i/>
        <w:sz w:val="24"/>
        <w:szCs w:val="24"/>
      </w:rPr>
      <w:t xml:space="preserve">Проект на </w:t>
    </w:r>
    <w:r>
      <w:rPr>
        <w:rFonts w:ascii="Times New Roman" w:hAnsi="Times New Roman" w:cs="Times New Roman"/>
        <w:bCs/>
        <w:i/>
        <w:sz w:val="24"/>
        <w:szCs w:val="24"/>
      </w:rPr>
      <w:t>И</w:t>
    </w:r>
    <w:r w:rsidRPr="00021F56">
      <w:rPr>
        <w:rFonts w:ascii="Times New Roman" w:hAnsi="Times New Roman" w:cs="Times New Roman"/>
        <w:bCs/>
        <w:i/>
        <w:sz w:val="24"/>
        <w:szCs w:val="24"/>
      </w:rPr>
      <w:t>нтегриран план</w:t>
    </w:r>
    <w:r>
      <w:rPr>
        <w:rFonts w:ascii="Times New Roman" w:hAnsi="Times New Roman" w:cs="Times New Roman"/>
        <w:bCs/>
        <w:i/>
        <w:sz w:val="24"/>
        <w:szCs w:val="24"/>
      </w:rPr>
      <w:t xml:space="preserve"> </w:t>
    </w:r>
    <w:r w:rsidRPr="00021F56">
      <w:rPr>
        <w:rFonts w:ascii="Times New Roman" w:hAnsi="Times New Roman" w:cs="Times New Roman"/>
        <w:bCs/>
        <w:i/>
        <w:sz w:val="24"/>
        <w:szCs w:val="24"/>
      </w:rPr>
      <w:t>в областта на ене</w:t>
    </w:r>
    <w:r>
      <w:rPr>
        <w:rFonts w:ascii="Times New Roman" w:hAnsi="Times New Roman" w:cs="Times New Roman"/>
        <w:bCs/>
        <w:i/>
        <w:sz w:val="24"/>
        <w:szCs w:val="24"/>
      </w:rPr>
      <w:t xml:space="preserve">ргетиката и климата </w:t>
    </w:r>
  </w:p>
  <w:p w14:paraId="120D03EA" w14:textId="77777777" w:rsidR="00786046" w:rsidRPr="00021F56" w:rsidRDefault="00786046" w:rsidP="00021F56">
    <w:pPr>
      <w:pBdr>
        <w:bottom w:val="single" w:sz="4" w:space="1" w:color="auto"/>
      </w:pBdr>
      <w:autoSpaceDE w:val="0"/>
      <w:autoSpaceDN w:val="0"/>
      <w:adjustRightInd w:val="0"/>
      <w:spacing w:after="0" w:line="240" w:lineRule="auto"/>
      <w:jc w:val="center"/>
      <w:rPr>
        <w:rFonts w:ascii="Times New Roman" w:hAnsi="Times New Roman" w:cs="Times New Roman"/>
        <w:i/>
        <w:sz w:val="24"/>
        <w:szCs w:val="24"/>
        <w:lang w:val="en-US"/>
      </w:rPr>
    </w:pPr>
    <w:r>
      <w:rPr>
        <w:rFonts w:ascii="Times New Roman" w:hAnsi="Times New Roman" w:cs="Times New Roman"/>
        <w:bCs/>
        <w:i/>
        <w:sz w:val="24"/>
        <w:szCs w:val="24"/>
      </w:rPr>
      <w:t>на Р</w:t>
    </w:r>
    <w:r w:rsidRPr="00021F56">
      <w:rPr>
        <w:rFonts w:ascii="Times New Roman" w:hAnsi="Times New Roman" w:cs="Times New Roman"/>
        <w:bCs/>
        <w:i/>
        <w:sz w:val="24"/>
        <w:szCs w:val="24"/>
      </w:rPr>
      <w:t xml:space="preserve">епублика </w:t>
    </w:r>
    <w:r>
      <w:rPr>
        <w:rFonts w:ascii="Times New Roman" w:hAnsi="Times New Roman" w:cs="Times New Roman"/>
        <w:bCs/>
        <w:i/>
        <w:sz w:val="24"/>
        <w:szCs w:val="24"/>
      </w:rPr>
      <w:t>Б</w:t>
    </w:r>
    <w:r w:rsidRPr="00021F56">
      <w:rPr>
        <w:rFonts w:ascii="Times New Roman" w:hAnsi="Times New Roman" w:cs="Times New Roman"/>
        <w:bCs/>
        <w:i/>
        <w:sz w:val="24"/>
        <w:szCs w:val="24"/>
      </w:rPr>
      <w:t>ългария</w:t>
    </w:r>
    <w:r>
      <w:rPr>
        <w:rFonts w:ascii="Times New Roman" w:hAnsi="Times New Roman" w:cs="Times New Roman"/>
        <w:bCs/>
        <w:i/>
        <w:sz w:val="24"/>
        <w:szCs w:val="24"/>
      </w:rPr>
      <w:t xml:space="preserve"> - </w:t>
    </w:r>
    <w:r w:rsidRPr="00021F56">
      <w:rPr>
        <w:rFonts w:ascii="Times New Roman" w:hAnsi="Times New Roman" w:cs="Times New Roman"/>
        <w:bCs/>
        <w:i/>
        <w:sz w:val="24"/>
        <w:szCs w:val="24"/>
      </w:rPr>
      <w:t>актуализация 2024 г.</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D720F"/>
    <w:multiLevelType w:val="hybridMultilevel"/>
    <w:tmpl w:val="E1FE6E7A"/>
    <w:lvl w:ilvl="0" w:tplc="04020001">
      <w:start w:val="1"/>
      <w:numFmt w:val="bullet"/>
      <w:lvlText w:val=""/>
      <w:lvlJc w:val="left"/>
      <w:pPr>
        <w:ind w:left="1440" w:hanging="360"/>
      </w:pPr>
      <w:rPr>
        <w:rFonts w:ascii="Symbol" w:hAnsi="Symbol" w:hint="default"/>
      </w:rPr>
    </w:lvl>
    <w:lvl w:ilvl="1" w:tplc="04020003">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 w15:restartNumberingAfterBreak="0">
    <w:nsid w:val="01B658AA"/>
    <w:multiLevelType w:val="hybridMultilevel"/>
    <w:tmpl w:val="757808A4"/>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2" w15:restartNumberingAfterBreak="0">
    <w:nsid w:val="068A7F72"/>
    <w:multiLevelType w:val="hybridMultilevel"/>
    <w:tmpl w:val="102E1254"/>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3" w15:restartNumberingAfterBreak="0">
    <w:nsid w:val="06BB6A96"/>
    <w:multiLevelType w:val="hybridMultilevel"/>
    <w:tmpl w:val="A348A00C"/>
    <w:lvl w:ilvl="0" w:tplc="04020011">
      <w:start w:val="1"/>
      <w:numFmt w:val="decimal"/>
      <w:lvlText w:val="%1)"/>
      <w:lvlJc w:val="left"/>
      <w:pPr>
        <w:ind w:left="1429" w:hanging="360"/>
      </w:pPr>
    </w:lvl>
    <w:lvl w:ilvl="1" w:tplc="04020019">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4" w15:restartNumberingAfterBreak="0">
    <w:nsid w:val="0796357D"/>
    <w:multiLevelType w:val="hybridMultilevel"/>
    <w:tmpl w:val="8F06423A"/>
    <w:lvl w:ilvl="0" w:tplc="04090001">
      <w:start w:val="1"/>
      <w:numFmt w:val="bullet"/>
      <w:lvlText w:val=""/>
      <w:lvlJc w:val="left"/>
      <w:pPr>
        <w:ind w:left="1080" w:hanging="360"/>
      </w:pPr>
      <w:rPr>
        <w:rFonts w:ascii="Symbol" w:hAnsi="Symbol" w:hint="default"/>
      </w:rPr>
    </w:lvl>
    <w:lvl w:ilvl="1" w:tplc="04020003">
      <w:start w:val="1"/>
      <w:numFmt w:val="bullet"/>
      <w:lvlText w:val="o"/>
      <w:lvlJc w:val="left"/>
      <w:pPr>
        <w:ind w:left="1800" w:hanging="360"/>
      </w:pPr>
      <w:rPr>
        <w:rFonts w:ascii="Courier New" w:hAnsi="Courier New" w:cs="Courier New" w:hint="default"/>
      </w:rPr>
    </w:lvl>
    <w:lvl w:ilvl="2" w:tplc="04020005">
      <w:start w:val="1"/>
      <w:numFmt w:val="bullet"/>
      <w:lvlText w:val=""/>
      <w:lvlJc w:val="left"/>
      <w:pPr>
        <w:ind w:left="2520" w:hanging="360"/>
      </w:pPr>
      <w:rPr>
        <w:rFonts w:ascii="Wingdings" w:hAnsi="Wingdings" w:hint="default"/>
      </w:rPr>
    </w:lvl>
    <w:lvl w:ilvl="3" w:tplc="04020001">
      <w:start w:val="1"/>
      <w:numFmt w:val="bullet"/>
      <w:lvlText w:val=""/>
      <w:lvlJc w:val="left"/>
      <w:pPr>
        <w:ind w:left="3240" w:hanging="360"/>
      </w:pPr>
      <w:rPr>
        <w:rFonts w:ascii="Symbol" w:hAnsi="Symbol" w:hint="default"/>
      </w:rPr>
    </w:lvl>
    <w:lvl w:ilvl="4" w:tplc="04020003">
      <w:start w:val="1"/>
      <w:numFmt w:val="bullet"/>
      <w:lvlText w:val="o"/>
      <w:lvlJc w:val="left"/>
      <w:pPr>
        <w:ind w:left="3960" w:hanging="360"/>
      </w:pPr>
      <w:rPr>
        <w:rFonts w:ascii="Courier New" w:hAnsi="Courier New" w:cs="Courier New" w:hint="default"/>
      </w:rPr>
    </w:lvl>
    <w:lvl w:ilvl="5" w:tplc="04020005">
      <w:start w:val="1"/>
      <w:numFmt w:val="bullet"/>
      <w:lvlText w:val=""/>
      <w:lvlJc w:val="left"/>
      <w:pPr>
        <w:ind w:left="4680" w:hanging="360"/>
      </w:pPr>
      <w:rPr>
        <w:rFonts w:ascii="Wingdings" w:hAnsi="Wingdings" w:hint="default"/>
      </w:rPr>
    </w:lvl>
    <w:lvl w:ilvl="6" w:tplc="04020001">
      <w:start w:val="1"/>
      <w:numFmt w:val="bullet"/>
      <w:lvlText w:val=""/>
      <w:lvlJc w:val="left"/>
      <w:pPr>
        <w:ind w:left="5400" w:hanging="360"/>
      </w:pPr>
      <w:rPr>
        <w:rFonts w:ascii="Symbol" w:hAnsi="Symbol" w:hint="default"/>
      </w:rPr>
    </w:lvl>
    <w:lvl w:ilvl="7" w:tplc="04020003">
      <w:start w:val="1"/>
      <w:numFmt w:val="bullet"/>
      <w:lvlText w:val="o"/>
      <w:lvlJc w:val="left"/>
      <w:pPr>
        <w:ind w:left="6120" w:hanging="360"/>
      </w:pPr>
      <w:rPr>
        <w:rFonts w:ascii="Courier New" w:hAnsi="Courier New" w:cs="Courier New" w:hint="default"/>
      </w:rPr>
    </w:lvl>
    <w:lvl w:ilvl="8" w:tplc="04020005">
      <w:start w:val="1"/>
      <w:numFmt w:val="bullet"/>
      <w:lvlText w:val=""/>
      <w:lvlJc w:val="left"/>
      <w:pPr>
        <w:ind w:left="6840" w:hanging="360"/>
      </w:pPr>
      <w:rPr>
        <w:rFonts w:ascii="Wingdings" w:hAnsi="Wingdings" w:hint="default"/>
      </w:rPr>
    </w:lvl>
  </w:abstractNum>
  <w:abstractNum w:abstractNumId="5" w15:restartNumberingAfterBreak="0">
    <w:nsid w:val="07E34273"/>
    <w:multiLevelType w:val="hybridMultilevel"/>
    <w:tmpl w:val="ED44E868"/>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6" w15:restartNumberingAfterBreak="0">
    <w:nsid w:val="09564AD0"/>
    <w:multiLevelType w:val="hybridMultilevel"/>
    <w:tmpl w:val="924625C0"/>
    <w:lvl w:ilvl="0" w:tplc="04020001">
      <w:start w:val="1"/>
      <w:numFmt w:val="bullet"/>
      <w:lvlText w:val=""/>
      <w:lvlJc w:val="left"/>
      <w:pPr>
        <w:ind w:left="1080" w:hanging="360"/>
      </w:pPr>
      <w:rPr>
        <w:rFonts w:ascii="Symbol" w:hAnsi="Symbol" w:hint="default"/>
      </w:rPr>
    </w:lvl>
    <w:lvl w:ilvl="1" w:tplc="04020003">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7" w15:restartNumberingAfterBreak="0">
    <w:nsid w:val="09FB1729"/>
    <w:multiLevelType w:val="hybridMultilevel"/>
    <w:tmpl w:val="60DEB7F6"/>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8" w15:restartNumberingAfterBreak="0">
    <w:nsid w:val="0D616D9C"/>
    <w:multiLevelType w:val="hybridMultilevel"/>
    <w:tmpl w:val="7CAC654E"/>
    <w:lvl w:ilvl="0" w:tplc="0402000B">
      <w:start w:val="1"/>
      <w:numFmt w:val="bullet"/>
      <w:lvlText w:val=""/>
      <w:lvlJc w:val="left"/>
      <w:pPr>
        <w:ind w:left="1429" w:hanging="360"/>
      </w:pPr>
      <w:rPr>
        <w:rFonts w:ascii="Wingdings" w:hAnsi="Wingdings"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9" w15:restartNumberingAfterBreak="0">
    <w:nsid w:val="0E6F7072"/>
    <w:multiLevelType w:val="hybridMultilevel"/>
    <w:tmpl w:val="132E439C"/>
    <w:lvl w:ilvl="0" w:tplc="0402000B">
      <w:start w:val="1"/>
      <w:numFmt w:val="bullet"/>
      <w:lvlText w:val=""/>
      <w:lvlJc w:val="left"/>
      <w:pPr>
        <w:ind w:left="1080" w:hanging="360"/>
      </w:pPr>
      <w:rPr>
        <w:rFonts w:ascii="Wingdings" w:hAnsi="Wingdings" w:hint="default"/>
      </w:rPr>
    </w:lvl>
    <w:lvl w:ilvl="1" w:tplc="04020003">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0" w15:restartNumberingAfterBreak="0">
    <w:nsid w:val="11036214"/>
    <w:multiLevelType w:val="hybridMultilevel"/>
    <w:tmpl w:val="C602D3DC"/>
    <w:lvl w:ilvl="0" w:tplc="0809000D">
      <w:start w:val="1"/>
      <w:numFmt w:val="bullet"/>
      <w:lvlText w:val=""/>
      <w:lvlJc w:val="left"/>
      <w:pPr>
        <w:ind w:left="1429" w:hanging="360"/>
      </w:pPr>
      <w:rPr>
        <w:rFonts w:ascii="Wingdings" w:hAnsi="Wingdings"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1" w15:restartNumberingAfterBreak="0">
    <w:nsid w:val="15E52CF3"/>
    <w:multiLevelType w:val="hybridMultilevel"/>
    <w:tmpl w:val="B6B27402"/>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2" w15:restartNumberingAfterBreak="0">
    <w:nsid w:val="16D23213"/>
    <w:multiLevelType w:val="hybridMultilevel"/>
    <w:tmpl w:val="E04A2F5E"/>
    <w:lvl w:ilvl="0" w:tplc="04020001">
      <w:start w:val="1"/>
      <w:numFmt w:val="bullet"/>
      <w:lvlText w:val=""/>
      <w:lvlJc w:val="left"/>
      <w:pPr>
        <w:ind w:left="1429" w:hanging="360"/>
      </w:pPr>
      <w:rPr>
        <w:rFonts w:ascii="Symbol" w:hAnsi="Symbol" w:hint="default"/>
      </w:rPr>
    </w:lvl>
    <w:lvl w:ilvl="1" w:tplc="04020003">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3" w15:restartNumberingAfterBreak="0">
    <w:nsid w:val="1A4033F7"/>
    <w:multiLevelType w:val="hybridMultilevel"/>
    <w:tmpl w:val="AC9EC43E"/>
    <w:lvl w:ilvl="0" w:tplc="EFB6B46A">
      <w:numFmt w:val="bullet"/>
      <w:lvlText w:val="-"/>
      <w:lvlJc w:val="left"/>
      <w:pPr>
        <w:ind w:left="1429" w:hanging="360"/>
      </w:pPr>
      <w:rPr>
        <w:rFonts w:ascii="Calibri" w:eastAsia="Calibri" w:hAnsi="Calibri" w:cs="Times New Roman"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4" w15:restartNumberingAfterBreak="0">
    <w:nsid w:val="1B677638"/>
    <w:multiLevelType w:val="hybridMultilevel"/>
    <w:tmpl w:val="314A6670"/>
    <w:lvl w:ilvl="0" w:tplc="04020001">
      <w:start w:val="1"/>
      <w:numFmt w:val="bullet"/>
      <w:lvlText w:val=""/>
      <w:lvlJc w:val="left"/>
      <w:pPr>
        <w:ind w:left="1080" w:hanging="360"/>
      </w:pPr>
      <w:rPr>
        <w:rFonts w:ascii="Symbol" w:hAnsi="Symbol" w:hint="default"/>
      </w:rPr>
    </w:lvl>
    <w:lvl w:ilvl="1" w:tplc="04020003">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5" w15:restartNumberingAfterBreak="0">
    <w:nsid w:val="1BBF17F0"/>
    <w:multiLevelType w:val="hybridMultilevel"/>
    <w:tmpl w:val="E9C486F6"/>
    <w:lvl w:ilvl="0" w:tplc="0809000D">
      <w:start w:val="1"/>
      <w:numFmt w:val="bullet"/>
      <w:lvlText w:val=""/>
      <w:lvlJc w:val="left"/>
      <w:pPr>
        <w:ind w:left="1080" w:hanging="360"/>
      </w:pPr>
      <w:rPr>
        <w:rFonts w:ascii="Wingdings" w:hAnsi="Wingdings"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6" w15:restartNumberingAfterBreak="0">
    <w:nsid w:val="1D2A0B71"/>
    <w:multiLevelType w:val="hybridMultilevel"/>
    <w:tmpl w:val="40D6E38E"/>
    <w:lvl w:ilvl="0" w:tplc="EFB6B46A">
      <w:numFmt w:val="bullet"/>
      <w:lvlText w:val="-"/>
      <w:lvlJc w:val="left"/>
      <w:pPr>
        <w:ind w:left="1429" w:hanging="360"/>
      </w:pPr>
      <w:rPr>
        <w:rFonts w:ascii="Calibri" w:eastAsia="Calibri" w:hAnsi="Calibri" w:cs="Times New Roman"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7" w15:restartNumberingAfterBreak="0">
    <w:nsid w:val="1DF86F9E"/>
    <w:multiLevelType w:val="hybridMultilevel"/>
    <w:tmpl w:val="93024C88"/>
    <w:lvl w:ilvl="0" w:tplc="04020001">
      <w:start w:val="1"/>
      <w:numFmt w:val="bullet"/>
      <w:lvlText w:val=""/>
      <w:lvlJc w:val="left"/>
      <w:pPr>
        <w:ind w:left="1800" w:hanging="360"/>
      </w:pPr>
      <w:rPr>
        <w:rFonts w:ascii="Symbol" w:hAnsi="Symbol" w:hint="default"/>
      </w:rPr>
    </w:lvl>
    <w:lvl w:ilvl="1" w:tplc="04020003" w:tentative="1">
      <w:start w:val="1"/>
      <w:numFmt w:val="bullet"/>
      <w:lvlText w:val="o"/>
      <w:lvlJc w:val="left"/>
      <w:pPr>
        <w:ind w:left="2520" w:hanging="360"/>
      </w:pPr>
      <w:rPr>
        <w:rFonts w:ascii="Courier New" w:hAnsi="Courier New" w:cs="Courier New" w:hint="default"/>
      </w:rPr>
    </w:lvl>
    <w:lvl w:ilvl="2" w:tplc="04020005" w:tentative="1">
      <w:start w:val="1"/>
      <w:numFmt w:val="bullet"/>
      <w:lvlText w:val=""/>
      <w:lvlJc w:val="left"/>
      <w:pPr>
        <w:ind w:left="3240" w:hanging="360"/>
      </w:pPr>
      <w:rPr>
        <w:rFonts w:ascii="Wingdings" w:hAnsi="Wingdings" w:hint="default"/>
      </w:rPr>
    </w:lvl>
    <w:lvl w:ilvl="3" w:tplc="04020001" w:tentative="1">
      <w:start w:val="1"/>
      <w:numFmt w:val="bullet"/>
      <w:lvlText w:val=""/>
      <w:lvlJc w:val="left"/>
      <w:pPr>
        <w:ind w:left="3960" w:hanging="360"/>
      </w:pPr>
      <w:rPr>
        <w:rFonts w:ascii="Symbol" w:hAnsi="Symbol" w:hint="default"/>
      </w:rPr>
    </w:lvl>
    <w:lvl w:ilvl="4" w:tplc="04020003" w:tentative="1">
      <w:start w:val="1"/>
      <w:numFmt w:val="bullet"/>
      <w:lvlText w:val="o"/>
      <w:lvlJc w:val="left"/>
      <w:pPr>
        <w:ind w:left="4680" w:hanging="360"/>
      </w:pPr>
      <w:rPr>
        <w:rFonts w:ascii="Courier New" w:hAnsi="Courier New" w:cs="Courier New" w:hint="default"/>
      </w:rPr>
    </w:lvl>
    <w:lvl w:ilvl="5" w:tplc="04020005" w:tentative="1">
      <w:start w:val="1"/>
      <w:numFmt w:val="bullet"/>
      <w:lvlText w:val=""/>
      <w:lvlJc w:val="left"/>
      <w:pPr>
        <w:ind w:left="5400" w:hanging="360"/>
      </w:pPr>
      <w:rPr>
        <w:rFonts w:ascii="Wingdings" w:hAnsi="Wingdings" w:hint="default"/>
      </w:rPr>
    </w:lvl>
    <w:lvl w:ilvl="6" w:tplc="04020001" w:tentative="1">
      <w:start w:val="1"/>
      <w:numFmt w:val="bullet"/>
      <w:lvlText w:val=""/>
      <w:lvlJc w:val="left"/>
      <w:pPr>
        <w:ind w:left="6120" w:hanging="360"/>
      </w:pPr>
      <w:rPr>
        <w:rFonts w:ascii="Symbol" w:hAnsi="Symbol" w:hint="default"/>
      </w:rPr>
    </w:lvl>
    <w:lvl w:ilvl="7" w:tplc="04020003" w:tentative="1">
      <w:start w:val="1"/>
      <w:numFmt w:val="bullet"/>
      <w:lvlText w:val="o"/>
      <w:lvlJc w:val="left"/>
      <w:pPr>
        <w:ind w:left="6840" w:hanging="360"/>
      </w:pPr>
      <w:rPr>
        <w:rFonts w:ascii="Courier New" w:hAnsi="Courier New" w:cs="Courier New" w:hint="default"/>
      </w:rPr>
    </w:lvl>
    <w:lvl w:ilvl="8" w:tplc="04020005" w:tentative="1">
      <w:start w:val="1"/>
      <w:numFmt w:val="bullet"/>
      <w:lvlText w:val=""/>
      <w:lvlJc w:val="left"/>
      <w:pPr>
        <w:ind w:left="7560" w:hanging="360"/>
      </w:pPr>
      <w:rPr>
        <w:rFonts w:ascii="Wingdings" w:hAnsi="Wingdings" w:hint="default"/>
      </w:rPr>
    </w:lvl>
  </w:abstractNum>
  <w:abstractNum w:abstractNumId="18" w15:restartNumberingAfterBreak="0">
    <w:nsid w:val="20D419B0"/>
    <w:multiLevelType w:val="hybridMultilevel"/>
    <w:tmpl w:val="550E8F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1840E60"/>
    <w:multiLevelType w:val="hybridMultilevel"/>
    <w:tmpl w:val="498847D6"/>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2405088D"/>
    <w:multiLevelType w:val="multilevel"/>
    <w:tmpl w:val="2F2C2874"/>
    <w:lvl w:ilvl="0">
      <w:start w:val="1"/>
      <w:numFmt w:val="decimal"/>
      <w:lvlText w:val="%1."/>
      <w:lvlJc w:val="left"/>
      <w:pPr>
        <w:ind w:left="720" w:hanging="360"/>
      </w:pPr>
      <w:rPr>
        <w:rFonts w:hint="default"/>
        <w:color w:val="auto"/>
      </w:rPr>
    </w:lvl>
    <w:lvl w:ilvl="1">
      <w:start w:val="1"/>
      <w:numFmt w:val="decimal"/>
      <w:isLgl/>
      <w:lvlText w:val="%1.%2."/>
      <w:lvlJc w:val="left"/>
      <w:pPr>
        <w:ind w:left="1165" w:hanging="456"/>
      </w:pPr>
      <w:rPr>
        <w:rFonts w:hint="default"/>
      </w:rPr>
    </w:lvl>
    <w:lvl w:ilvl="2">
      <w:start w:val="1"/>
      <w:numFmt w:val="decimal"/>
      <w:isLgl/>
      <w:lvlText w:val="%1.%2.%3."/>
      <w:lvlJc w:val="left"/>
      <w:pPr>
        <w:ind w:left="1288" w:hanging="720"/>
      </w:pPr>
      <w:rPr>
        <w:rFonts w:hint="default"/>
        <w:b/>
        <w:bCs/>
        <w:color w:val="auto"/>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1" w15:restartNumberingAfterBreak="0">
    <w:nsid w:val="24E77494"/>
    <w:multiLevelType w:val="hybridMultilevel"/>
    <w:tmpl w:val="3E4EA668"/>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2" w15:restartNumberingAfterBreak="0">
    <w:nsid w:val="25CB1C5E"/>
    <w:multiLevelType w:val="hybridMultilevel"/>
    <w:tmpl w:val="D444B87E"/>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23" w15:restartNumberingAfterBreak="0">
    <w:nsid w:val="28A17478"/>
    <w:multiLevelType w:val="hybridMultilevel"/>
    <w:tmpl w:val="5F3604C4"/>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4" w15:restartNumberingAfterBreak="0">
    <w:nsid w:val="2D6A6FF9"/>
    <w:multiLevelType w:val="hybridMultilevel"/>
    <w:tmpl w:val="FE72DE48"/>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5" w15:restartNumberingAfterBreak="0">
    <w:nsid w:val="2E5A5E6D"/>
    <w:multiLevelType w:val="hybridMultilevel"/>
    <w:tmpl w:val="1D72045E"/>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6" w15:restartNumberingAfterBreak="0">
    <w:nsid w:val="2EC339E2"/>
    <w:multiLevelType w:val="hybridMultilevel"/>
    <w:tmpl w:val="99B669AC"/>
    <w:lvl w:ilvl="0" w:tplc="0409000D">
      <w:start w:val="1"/>
      <w:numFmt w:val="bullet"/>
      <w:lvlText w:val=""/>
      <w:lvlJc w:val="left"/>
      <w:pPr>
        <w:ind w:left="2149" w:hanging="360"/>
      </w:pPr>
      <w:rPr>
        <w:rFonts w:ascii="Wingdings" w:hAnsi="Wingdings" w:hint="default"/>
      </w:rPr>
    </w:lvl>
    <w:lvl w:ilvl="1" w:tplc="04090003">
      <w:start w:val="1"/>
      <w:numFmt w:val="bullet"/>
      <w:lvlText w:val="o"/>
      <w:lvlJc w:val="left"/>
      <w:pPr>
        <w:ind w:left="2869" w:hanging="360"/>
      </w:pPr>
      <w:rPr>
        <w:rFonts w:ascii="Courier New" w:hAnsi="Courier New" w:cs="Courier New" w:hint="default"/>
      </w:rPr>
    </w:lvl>
    <w:lvl w:ilvl="2" w:tplc="04090005">
      <w:start w:val="1"/>
      <w:numFmt w:val="bullet"/>
      <w:lvlText w:val=""/>
      <w:lvlJc w:val="left"/>
      <w:pPr>
        <w:ind w:left="3589" w:hanging="360"/>
      </w:pPr>
      <w:rPr>
        <w:rFonts w:ascii="Wingdings" w:hAnsi="Wingdings" w:hint="default"/>
      </w:rPr>
    </w:lvl>
    <w:lvl w:ilvl="3" w:tplc="04090001">
      <w:start w:val="1"/>
      <w:numFmt w:val="bullet"/>
      <w:lvlText w:val=""/>
      <w:lvlJc w:val="left"/>
      <w:pPr>
        <w:ind w:left="4309" w:hanging="360"/>
      </w:pPr>
      <w:rPr>
        <w:rFonts w:ascii="Symbol" w:hAnsi="Symbol" w:hint="default"/>
      </w:rPr>
    </w:lvl>
    <w:lvl w:ilvl="4" w:tplc="04090003">
      <w:start w:val="1"/>
      <w:numFmt w:val="bullet"/>
      <w:lvlText w:val="o"/>
      <w:lvlJc w:val="left"/>
      <w:pPr>
        <w:ind w:left="5029" w:hanging="360"/>
      </w:pPr>
      <w:rPr>
        <w:rFonts w:ascii="Courier New" w:hAnsi="Courier New" w:cs="Courier New" w:hint="default"/>
      </w:rPr>
    </w:lvl>
    <w:lvl w:ilvl="5" w:tplc="04090005">
      <w:start w:val="1"/>
      <w:numFmt w:val="bullet"/>
      <w:lvlText w:val=""/>
      <w:lvlJc w:val="left"/>
      <w:pPr>
        <w:ind w:left="5749" w:hanging="360"/>
      </w:pPr>
      <w:rPr>
        <w:rFonts w:ascii="Wingdings" w:hAnsi="Wingdings" w:hint="default"/>
      </w:rPr>
    </w:lvl>
    <w:lvl w:ilvl="6" w:tplc="04090001">
      <w:start w:val="1"/>
      <w:numFmt w:val="bullet"/>
      <w:lvlText w:val=""/>
      <w:lvlJc w:val="left"/>
      <w:pPr>
        <w:ind w:left="6469" w:hanging="360"/>
      </w:pPr>
      <w:rPr>
        <w:rFonts w:ascii="Symbol" w:hAnsi="Symbol" w:hint="default"/>
      </w:rPr>
    </w:lvl>
    <w:lvl w:ilvl="7" w:tplc="04090003">
      <w:start w:val="1"/>
      <w:numFmt w:val="bullet"/>
      <w:lvlText w:val="o"/>
      <w:lvlJc w:val="left"/>
      <w:pPr>
        <w:ind w:left="7189" w:hanging="360"/>
      </w:pPr>
      <w:rPr>
        <w:rFonts w:ascii="Courier New" w:hAnsi="Courier New" w:cs="Courier New" w:hint="default"/>
      </w:rPr>
    </w:lvl>
    <w:lvl w:ilvl="8" w:tplc="04090005">
      <w:start w:val="1"/>
      <w:numFmt w:val="bullet"/>
      <w:lvlText w:val=""/>
      <w:lvlJc w:val="left"/>
      <w:pPr>
        <w:ind w:left="7909" w:hanging="360"/>
      </w:pPr>
      <w:rPr>
        <w:rFonts w:ascii="Wingdings" w:hAnsi="Wingdings" w:hint="default"/>
      </w:rPr>
    </w:lvl>
  </w:abstractNum>
  <w:abstractNum w:abstractNumId="27" w15:restartNumberingAfterBreak="0">
    <w:nsid w:val="2F4B09BA"/>
    <w:multiLevelType w:val="hybridMultilevel"/>
    <w:tmpl w:val="A348A00C"/>
    <w:lvl w:ilvl="0" w:tplc="FFFFFFFF">
      <w:start w:val="1"/>
      <w:numFmt w:val="decimal"/>
      <w:lvlText w:val="%1)"/>
      <w:lvlJc w:val="left"/>
      <w:pPr>
        <w:ind w:left="1429" w:hanging="360"/>
      </w:p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8" w15:restartNumberingAfterBreak="0">
    <w:nsid w:val="30143140"/>
    <w:multiLevelType w:val="hybridMultilevel"/>
    <w:tmpl w:val="3370B9DE"/>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15:restartNumberingAfterBreak="0">
    <w:nsid w:val="30B70A5D"/>
    <w:multiLevelType w:val="hybridMultilevel"/>
    <w:tmpl w:val="91E20A14"/>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0" w15:restartNumberingAfterBreak="0">
    <w:nsid w:val="311D606D"/>
    <w:multiLevelType w:val="hybridMultilevel"/>
    <w:tmpl w:val="12C69042"/>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1" w15:restartNumberingAfterBreak="0">
    <w:nsid w:val="36BF7D3D"/>
    <w:multiLevelType w:val="hybridMultilevel"/>
    <w:tmpl w:val="D8968E12"/>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2" w15:restartNumberingAfterBreak="0">
    <w:nsid w:val="389437E1"/>
    <w:multiLevelType w:val="hybridMultilevel"/>
    <w:tmpl w:val="F89071D8"/>
    <w:lvl w:ilvl="0" w:tplc="04020001">
      <w:start w:val="1"/>
      <w:numFmt w:val="bullet"/>
      <w:lvlText w:val=""/>
      <w:lvlJc w:val="left"/>
      <w:pPr>
        <w:ind w:left="1080" w:hanging="360"/>
      </w:pPr>
      <w:rPr>
        <w:rFonts w:ascii="Symbol" w:hAnsi="Symbol" w:hint="default"/>
      </w:rPr>
    </w:lvl>
    <w:lvl w:ilvl="1" w:tplc="04020003">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3" w15:restartNumberingAfterBreak="0">
    <w:nsid w:val="39721BF1"/>
    <w:multiLevelType w:val="hybridMultilevel"/>
    <w:tmpl w:val="35DA5338"/>
    <w:lvl w:ilvl="0" w:tplc="3DC86B38">
      <w:numFmt w:val="bullet"/>
      <w:lvlText w:val="-"/>
      <w:lvlJc w:val="left"/>
      <w:pPr>
        <w:ind w:left="1080" w:hanging="360"/>
      </w:pPr>
      <w:rPr>
        <w:rFonts w:ascii="Times New Roman" w:eastAsia="Times New Roman"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4" w15:restartNumberingAfterBreak="0">
    <w:nsid w:val="3D0A59BC"/>
    <w:multiLevelType w:val="hybridMultilevel"/>
    <w:tmpl w:val="B7E67F8E"/>
    <w:lvl w:ilvl="0" w:tplc="04020001">
      <w:start w:val="1"/>
      <w:numFmt w:val="bullet"/>
      <w:lvlText w:val=""/>
      <w:lvlJc w:val="left"/>
      <w:pPr>
        <w:ind w:left="1080" w:hanging="360"/>
      </w:pPr>
      <w:rPr>
        <w:rFonts w:ascii="Symbol" w:hAnsi="Symbol" w:hint="default"/>
      </w:rPr>
    </w:lvl>
    <w:lvl w:ilvl="1" w:tplc="04020003">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5" w15:restartNumberingAfterBreak="0">
    <w:nsid w:val="3D9E2795"/>
    <w:multiLevelType w:val="hybridMultilevel"/>
    <w:tmpl w:val="2B1E8550"/>
    <w:lvl w:ilvl="0" w:tplc="0402000B">
      <w:start w:val="1"/>
      <w:numFmt w:val="bullet"/>
      <w:lvlText w:val=""/>
      <w:lvlJc w:val="left"/>
      <w:pPr>
        <w:ind w:left="1080" w:hanging="360"/>
      </w:pPr>
      <w:rPr>
        <w:rFonts w:ascii="Wingdings" w:hAnsi="Wingdings"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6" w15:restartNumberingAfterBreak="0">
    <w:nsid w:val="420800D9"/>
    <w:multiLevelType w:val="hybridMultilevel"/>
    <w:tmpl w:val="68EED21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37" w15:restartNumberingAfterBreak="0">
    <w:nsid w:val="423D68F3"/>
    <w:multiLevelType w:val="hybridMultilevel"/>
    <w:tmpl w:val="0F7EB5E2"/>
    <w:lvl w:ilvl="0" w:tplc="04020001">
      <w:start w:val="1"/>
      <w:numFmt w:val="bullet"/>
      <w:lvlText w:val=""/>
      <w:lvlJc w:val="left"/>
      <w:pPr>
        <w:ind w:left="1069" w:hanging="360"/>
      </w:pPr>
      <w:rPr>
        <w:rFonts w:ascii="Symbol" w:hAnsi="Symbol"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38" w15:restartNumberingAfterBreak="0">
    <w:nsid w:val="45A21D16"/>
    <w:multiLevelType w:val="hybridMultilevel"/>
    <w:tmpl w:val="4D2E464E"/>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9" w15:restartNumberingAfterBreak="0">
    <w:nsid w:val="49AB6753"/>
    <w:multiLevelType w:val="hybridMultilevel"/>
    <w:tmpl w:val="7332B8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4A486C67"/>
    <w:multiLevelType w:val="hybridMultilevel"/>
    <w:tmpl w:val="066CA024"/>
    <w:lvl w:ilvl="0" w:tplc="749CE086">
      <w:start w:val="1"/>
      <w:numFmt w:val="upperRoman"/>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1" w15:restartNumberingAfterBreak="0">
    <w:nsid w:val="4B03773A"/>
    <w:multiLevelType w:val="hybridMultilevel"/>
    <w:tmpl w:val="64E2CB2E"/>
    <w:lvl w:ilvl="0" w:tplc="3DC86B3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B751648"/>
    <w:multiLevelType w:val="hybridMultilevel"/>
    <w:tmpl w:val="01D4801C"/>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43" w15:restartNumberingAfterBreak="0">
    <w:nsid w:val="51667890"/>
    <w:multiLevelType w:val="hybridMultilevel"/>
    <w:tmpl w:val="F40E5746"/>
    <w:lvl w:ilvl="0" w:tplc="04090001">
      <w:start w:val="1"/>
      <w:numFmt w:val="bullet"/>
      <w:lvlText w:val=""/>
      <w:lvlJc w:val="left"/>
      <w:pPr>
        <w:ind w:left="1429"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44" w15:restartNumberingAfterBreak="0">
    <w:nsid w:val="51B72EB1"/>
    <w:multiLevelType w:val="hybridMultilevel"/>
    <w:tmpl w:val="0E5E75EA"/>
    <w:lvl w:ilvl="0" w:tplc="04020011">
      <w:start w:val="1"/>
      <w:numFmt w:val="decimal"/>
      <w:lvlText w:val="%1)"/>
      <w:lvlJc w:val="left"/>
      <w:pPr>
        <w:ind w:left="1800" w:hanging="360"/>
      </w:pPr>
      <w:rPr>
        <w:rFont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5" w15:restartNumberingAfterBreak="0">
    <w:nsid w:val="53F93AB6"/>
    <w:multiLevelType w:val="hybridMultilevel"/>
    <w:tmpl w:val="3D0EC27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6" w15:restartNumberingAfterBreak="0">
    <w:nsid w:val="59F2657A"/>
    <w:multiLevelType w:val="hybridMultilevel"/>
    <w:tmpl w:val="8132FB4E"/>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47" w15:restartNumberingAfterBreak="0">
    <w:nsid w:val="5BA101D6"/>
    <w:multiLevelType w:val="hybridMultilevel"/>
    <w:tmpl w:val="5928B848"/>
    <w:lvl w:ilvl="0" w:tplc="04020001">
      <w:start w:val="1"/>
      <w:numFmt w:val="bullet"/>
      <w:lvlText w:val=""/>
      <w:lvlJc w:val="left"/>
      <w:pPr>
        <w:ind w:left="1080" w:hanging="360"/>
      </w:pPr>
      <w:rPr>
        <w:rFonts w:ascii="Symbol" w:hAnsi="Symbol" w:hint="default"/>
      </w:rPr>
    </w:lvl>
    <w:lvl w:ilvl="1" w:tplc="04020003">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48" w15:restartNumberingAfterBreak="0">
    <w:nsid w:val="5C1A110F"/>
    <w:multiLevelType w:val="hybridMultilevel"/>
    <w:tmpl w:val="2EEA3CB0"/>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49" w15:restartNumberingAfterBreak="0">
    <w:nsid w:val="5D222A00"/>
    <w:multiLevelType w:val="hybridMultilevel"/>
    <w:tmpl w:val="F9028054"/>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50" w15:restartNumberingAfterBreak="0">
    <w:nsid w:val="5DB128D8"/>
    <w:multiLevelType w:val="hybridMultilevel"/>
    <w:tmpl w:val="3AB0EC26"/>
    <w:lvl w:ilvl="0" w:tplc="04020001">
      <w:start w:val="1"/>
      <w:numFmt w:val="bullet"/>
      <w:lvlText w:val=""/>
      <w:lvlJc w:val="left"/>
      <w:pPr>
        <w:ind w:left="1429" w:hanging="360"/>
      </w:pPr>
      <w:rPr>
        <w:rFonts w:ascii="Symbol" w:hAnsi="Symbol" w:hint="default"/>
      </w:rPr>
    </w:lvl>
    <w:lvl w:ilvl="1" w:tplc="04020003">
      <w:start w:val="1"/>
      <w:numFmt w:val="bullet"/>
      <w:lvlText w:val="o"/>
      <w:lvlJc w:val="left"/>
      <w:pPr>
        <w:ind w:left="2149" w:hanging="360"/>
      </w:pPr>
      <w:rPr>
        <w:rFonts w:ascii="Courier New" w:hAnsi="Courier New" w:cs="Courier New" w:hint="default"/>
      </w:rPr>
    </w:lvl>
    <w:lvl w:ilvl="2" w:tplc="04020005">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51" w15:restartNumberingAfterBreak="0">
    <w:nsid w:val="62231E4B"/>
    <w:multiLevelType w:val="hybridMultilevel"/>
    <w:tmpl w:val="D85CCEC8"/>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52" w15:restartNumberingAfterBreak="0">
    <w:nsid w:val="64FA1945"/>
    <w:multiLevelType w:val="hybridMultilevel"/>
    <w:tmpl w:val="1F3CB6E0"/>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53" w15:restartNumberingAfterBreak="0">
    <w:nsid w:val="65467E90"/>
    <w:multiLevelType w:val="hybridMultilevel"/>
    <w:tmpl w:val="70D894C4"/>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54" w15:restartNumberingAfterBreak="0">
    <w:nsid w:val="659552D5"/>
    <w:multiLevelType w:val="hybridMultilevel"/>
    <w:tmpl w:val="0F20AB5C"/>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55" w15:restartNumberingAfterBreak="0">
    <w:nsid w:val="67382F6E"/>
    <w:multiLevelType w:val="hybridMultilevel"/>
    <w:tmpl w:val="7C68464A"/>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56" w15:restartNumberingAfterBreak="0">
    <w:nsid w:val="68280E98"/>
    <w:multiLevelType w:val="hybridMultilevel"/>
    <w:tmpl w:val="08608ABA"/>
    <w:lvl w:ilvl="0" w:tplc="04020001">
      <w:start w:val="1"/>
      <w:numFmt w:val="bullet"/>
      <w:lvlText w:val=""/>
      <w:lvlJc w:val="left"/>
      <w:pPr>
        <w:ind w:left="1080" w:hanging="360"/>
      </w:pPr>
      <w:rPr>
        <w:rFonts w:ascii="Symbol" w:hAnsi="Symbol" w:hint="default"/>
      </w:rPr>
    </w:lvl>
    <w:lvl w:ilvl="1" w:tplc="AC5CCDA8">
      <w:numFmt w:val="bullet"/>
      <w:lvlText w:val="•"/>
      <w:lvlJc w:val="left"/>
      <w:pPr>
        <w:ind w:left="2376" w:hanging="936"/>
      </w:pPr>
      <w:rPr>
        <w:rFonts w:ascii="Times New Roman" w:eastAsia="Calibri" w:hAnsi="Times New Roman" w:cs="Times New Roman"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57" w15:restartNumberingAfterBreak="0">
    <w:nsid w:val="6A325633"/>
    <w:multiLevelType w:val="hybridMultilevel"/>
    <w:tmpl w:val="7B4C9B40"/>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58" w15:restartNumberingAfterBreak="0">
    <w:nsid w:val="6BE32217"/>
    <w:multiLevelType w:val="hybridMultilevel"/>
    <w:tmpl w:val="286AF3B8"/>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59" w15:restartNumberingAfterBreak="0">
    <w:nsid w:val="6EFF75E5"/>
    <w:multiLevelType w:val="multilevel"/>
    <w:tmpl w:val="F1341E14"/>
    <w:lvl w:ilvl="0">
      <w:start w:val="1"/>
      <w:numFmt w:val="decimal"/>
      <w:lvlText w:val="%1."/>
      <w:lvlJc w:val="left"/>
      <w:pPr>
        <w:ind w:left="720" w:hanging="360"/>
      </w:pPr>
      <w:rPr>
        <w:rFonts w:hint="default"/>
        <w:color w:val="auto"/>
      </w:rPr>
    </w:lvl>
    <w:lvl w:ilvl="1">
      <w:start w:val="1"/>
      <w:numFmt w:val="decimal"/>
      <w:isLgl/>
      <w:lvlText w:val="%1.%2."/>
      <w:lvlJc w:val="left"/>
      <w:pPr>
        <w:ind w:left="1165" w:hanging="456"/>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60" w15:restartNumberingAfterBreak="0">
    <w:nsid w:val="702766B1"/>
    <w:multiLevelType w:val="hybridMultilevel"/>
    <w:tmpl w:val="DB087A5C"/>
    <w:lvl w:ilvl="0" w:tplc="3DC86B38">
      <w:numFmt w:val="bullet"/>
      <w:lvlText w:val="-"/>
      <w:lvlJc w:val="left"/>
      <w:pPr>
        <w:ind w:left="1429" w:hanging="360"/>
      </w:pPr>
      <w:rPr>
        <w:rFonts w:ascii="Times New Roman" w:eastAsia="Times New Roman" w:hAnsi="Times New Roman" w:cs="Times New Roman"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61" w15:restartNumberingAfterBreak="0">
    <w:nsid w:val="728939B0"/>
    <w:multiLevelType w:val="hybridMultilevel"/>
    <w:tmpl w:val="85DAA3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2" w15:restartNumberingAfterBreak="0">
    <w:nsid w:val="72CF2D9C"/>
    <w:multiLevelType w:val="hybridMultilevel"/>
    <w:tmpl w:val="EC9CC736"/>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63" w15:restartNumberingAfterBreak="0">
    <w:nsid w:val="74F9403A"/>
    <w:multiLevelType w:val="hybridMultilevel"/>
    <w:tmpl w:val="89040092"/>
    <w:lvl w:ilvl="0" w:tplc="82009B84">
      <w:start w:val="2"/>
      <w:numFmt w:val="bullet"/>
      <w:lvlText w:val="–"/>
      <w:lvlJc w:val="left"/>
      <w:pPr>
        <w:ind w:left="1069" w:hanging="360"/>
      </w:pPr>
      <w:rPr>
        <w:rFonts w:ascii="Times New Roman" w:eastAsiaTheme="minorHAnsi"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64" w15:restartNumberingAfterBreak="0">
    <w:nsid w:val="76805D83"/>
    <w:multiLevelType w:val="hybridMultilevel"/>
    <w:tmpl w:val="7EE485EE"/>
    <w:lvl w:ilvl="0" w:tplc="04020001">
      <w:start w:val="1"/>
      <w:numFmt w:val="bullet"/>
      <w:lvlText w:val=""/>
      <w:lvlJc w:val="left"/>
      <w:pPr>
        <w:ind w:left="1080" w:hanging="360"/>
      </w:pPr>
      <w:rPr>
        <w:rFonts w:ascii="Symbol" w:hAnsi="Symbol" w:hint="default"/>
      </w:rPr>
    </w:lvl>
    <w:lvl w:ilvl="1" w:tplc="04020003">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65" w15:restartNumberingAfterBreak="0">
    <w:nsid w:val="78814B55"/>
    <w:multiLevelType w:val="hybridMultilevel"/>
    <w:tmpl w:val="683ADCF6"/>
    <w:lvl w:ilvl="0" w:tplc="EFB6B46A">
      <w:numFmt w:val="bullet"/>
      <w:lvlText w:val="-"/>
      <w:lvlJc w:val="left"/>
      <w:pPr>
        <w:ind w:left="1429" w:hanging="360"/>
      </w:pPr>
      <w:rPr>
        <w:rFonts w:ascii="Calibri" w:eastAsia="Calibri" w:hAnsi="Calibri" w:cs="Times New Roman"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66" w15:restartNumberingAfterBreak="0">
    <w:nsid w:val="78C33176"/>
    <w:multiLevelType w:val="hybridMultilevel"/>
    <w:tmpl w:val="6AF81C9A"/>
    <w:lvl w:ilvl="0" w:tplc="EFB6B46A">
      <w:numFmt w:val="bullet"/>
      <w:lvlText w:val="-"/>
      <w:lvlJc w:val="left"/>
      <w:pPr>
        <w:ind w:left="1080" w:hanging="360"/>
      </w:pPr>
      <w:rPr>
        <w:rFonts w:ascii="Calibri" w:eastAsia="Calibri" w:hAnsi="Calibri"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67" w15:restartNumberingAfterBreak="0">
    <w:nsid w:val="7A0C65B1"/>
    <w:multiLevelType w:val="hybridMultilevel"/>
    <w:tmpl w:val="0F768DEC"/>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num w:numId="1">
    <w:abstractNumId w:val="40"/>
  </w:num>
  <w:num w:numId="2">
    <w:abstractNumId w:val="45"/>
  </w:num>
  <w:num w:numId="3">
    <w:abstractNumId w:val="39"/>
  </w:num>
  <w:num w:numId="4">
    <w:abstractNumId w:val="0"/>
  </w:num>
  <w:num w:numId="5">
    <w:abstractNumId w:val="59"/>
  </w:num>
  <w:num w:numId="6">
    <w:abstractNumId w:val="50"/>
  </w:num>
  <w:num w:numId="7">
    <w:abstractNumId w:val="36"/>
  </w:num>
  <w:num w:numId="8">
    <w:abstractNumId w:val="20"/>
  </w:num>
  <w:num w:numId="9">
    <w:abstractNumId w:val="18"/>
  </w:num>
  <w:num w:numId="10">
    <w:abstractNumId w:val="53"/>
  </w:num>
  <w:num w:numId="11">
    <w:abstractNumId w:val="26"/>
  </w:num>
  <w:num w:numId="12">
    <w:abstractNumId w:val="43"/>
  </w:num>
  <w:num w:numId="13">
    <w:abstractNumId w:val="41"/>
  </w:num>
  <w:num w:numId="14">
    <w:abstractNumId w:val="61"/>
  </w:num>
  <w:num w:numId="15">
    <w:abstractNumId w:val="4"/>
  </w:num>
  <w:num w:numId="16">
    <w:abstractNumId w:val="31"/>
  </w:num>
  <w:num w:numId="17">
    <w:abstractNumId w:val="56"/>
  </w:num>
  <w:num w:numId="18">
    <w:abstractNumId w:val="5"/>
  </w:num>
  <w:num w:numId="19">
    <w:abstractNumId w:val="32"/>
  </w:num>
  <w:num w:numId="20">
    <w:abstractNumId w:val="22"/>
  </w:num>
  <w:num w:numId="21">
    <w:abstractNumId w:val="48"/>
  </w:num>
  <w:num w:numId="22">
    <w:abstractNumId w:val="2"/>
  </w:num>
  <w:num w:numId="23">
    <w:abstractNumId w:val="14"/>
  </w:num>
  <w:num w:numId="24">
    <w:abstractNumId w:val="34"/>
  </w:num>
  <w:num w:numId="25">
    <w:abstractNumId w:val="33"/>
  </w:num>
  <w:num w:numId="26">
    <w:abstractNumId w:val="47"/>
  </w:num>
  <w:num w:numId="27">
    <w:abstractNumId w:val="6"/>
  </w:num>
  <w:num w:numId="28">
    <w:abstractNumId w:val="60"/>
  </w:num>
  <w:num w:numId="29">
    <w:abstractNumId w:val="55"/>
  </w:num>
  <w:num w:numId="30">
    <w:abstractNumId w:val="17"/>
  </w:num>
  <w:num w:numId="31">
    <w:abstractNumId w:val="64"/>
  </w:num>
  <w:num w:numId="32">
    <w:abstractNumId w:val="42"/>
  </w:num>
  <w:num w:numId="33">
    <w:abstractNumId w:val="30"/>
  </w:num>
  <w:num w:numId="34">
    <w:abstractNumId w:val="58"/>
  </w:num>
  <w:num w:numId="35">
    <w:abstractNumId w:val="35"/>
  </w:num>
  <w:num w:numId="36">
    <w:abstractNumId w:val="16"/>
  </w:num>
  <w:num w:numId="37">
    <w:abstractNumId w:val="7"/>
  </w:num>
  <w:num w:numId="38">
    <w:abstractNumId w:val="51"/>
  </w:num>
  <w:num w:numId="39">
    <w:abstractNumId w:val="11"/>
  </w:num>
  <w:num w:numId="40">
    <w:abstractNumId w:val="13"/>
  </w:num>
  <w:num w:numId="41">
    <w:abstractNumId w:val="62"/>
  </w:num>
  <w:num w:numId="42">
    <w:abstractNumId w:val="65"/>
  </w:num>
  <w:num w:numId="43">
    <w:abstractNumId w:val="24"/>
  </w:num>
  <w:num w:numId="44">
    <w:abstractNumId w:val="37"/>
  </w:num>
  <w:num w:numId="45">
    <w:abstractNumId w:val="54"/>
  </w:num>
  <w:num w:numId="46">
    <w:abstractNumId w:val="66"/>
  </w:num>
  <w:num w:numId="47">
    <w:abstractNumId w:val="57"/>
  </w:num>
  <w:num w:numId="48">
    <w:abstractNumId w:val="15"/>
  </w:num>
  <w:num w:numId="49">
    <w:abstractNumId w:val="10"/>
  </w:num>
  <w:num w:numId="50">
    <w:abstractNumId w:val="12"/>
  </w:num>
  <w:num w:numId="51">
    <w:abstractNumId w:val="9"/>
  </w:num>
  <w:num w:numId="52">
    <w:abstractNumId w:val="21"/>
  </w:num>
  <w:num w:numId="53">
    <w:abstractNumId w:val="49"/>
  </w:num>
  <w:num w:numId="54">
    <w:abstractNumId w:val="52"/>
  </w:num>
  <w:num w:numId="55">
    <w:abstractNumId w:val="29"/>
  </w:num>
  <w:num w:numId="56">
    <w:abstractNumId w:val="46"/>
  </w:num>
  <w:num w:numId="57">
    <w:abstractNumId w:val="23"/>
  </w:num>
  <w:num w:numId="58">
    <w:abstractNumId w:val="25"/>
  </w:num>
  <w:num w:numId="59">
    <w:abstractNumId w:val="67"/>
  </w:num>
  <w:num w:numId="60">
    <w:abstractNumId w:val="1"/>
  </w:num>
  <w:num w:numId="61">
    <w:abstractNumId w:val="8"/>
  </w:num>
  <w:num w:numId="62">
    <w:abstractNumId w:val="19"/>
  </w:num>
  <w:num w:numId="63">
    <w:abstractNumId w:val="28"/>
  </w:num>
  <w:num w:numId="64">
    <w:abstractNumId w:val="44"/>
  </w:num>
  <w:num w:numId="65">
    <w:abstractNumId w:val="3"/>
  </w:num>
  <w:num w:numId="66">
    <w:abstractNumId w:val="27"/>
  </w:num>
  <w:num w:numId="67">
    <w:abstractNumId w:val="38"/>
  </w:num>
  <w:num w:numId="68">
    <w:abstractNumId w:val="6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proofState w:grammar="clean"/>
  <w:documentProtection w:edit="forms" w:enforcement="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2C17"/>
    <w:rsid w:val="00001978"/>
    <w:rsid w:val="000078BF"/>
    <w:rsid w:val="00020824"/>
    <w:rsid w:val="00020D5B"/>
    <w:rsid w:val="00021F56"/>
    <w:rsid w:val="00024142"/>
    <w:rsid w:val="00025D92"/>
    <w:rsid w:val="00031B79"/>
    <w:rsid w:val="00031C9E"/>
    <w:rsid w:val="00032563"/>
    <w:rsid w:val="000354DD"/>
    <w:rsid w:val="000402E7"/>
    <w:rsid w:val="000417AB"/>
    <w:rsid w:val="00041F4C"/>
    <w:rsid w:val="000426ED"/>
    <w:rsid w:val="000506CC"/>
    <w:rsid w:val="00050DB6"/>
    <w:rsid w:val="0005113C"/>
    <w:rsid w:val="00053812"/>
    <w:rsid w:val="0005402C"/>
    <w:rsid w:val="00055F27"/>
    <w:rsid w:val="00062267"/>
    <w:rsid w:val="00062F90"/>
    <w:rsid w:val="00064753"/>
    <w:rsid w:val="00070EC3"/>
    <w:rsid w:val="000719C6"/>
    <w:rsid w:val="00071A05"/>
    <w:rsid w:val="000723B4"/>
    <w:rsid w:val="000773A3"/>
    <w:rsid w:val="00083436"/>
    <w:rsid w:val="0008377B"/>
    <w:rsid w:val="00086675"/>
    <w:rsid w:val="00087391"/>
    <w:rsid w:val="000878B4"/>
    <w:rsid w:val="000908B0"/>
    <w:rsid w:val="00093560"/>
    <w:rsid w:val="00094E7E"/>
    <w:rsid w:val="00096D73"/>
    <w:rsid w:val="00096DDD"/>
    <w:rsid w:val="0009757D"/>
    <w:rsid w:val="000A01F5"/>
    <w:rsid w:val="000A0D5C"/>
    <w:rsid w:val="000A0E0D"/>
    <w:rsid w:val="000A2A56"/>
    <w:rsid w:val="000A3E48"/>
    <w:rsid w:val="000A411D"/>
    <w:rsid w:val="000A4B02"/>
    <w:rsid w:val="000B0220"/>
    <w:rsid w:val="000B5CC0"/>
    <w:rsid w:val="000B5E78"/>
    <w:rsid w:val="000C0862"/>
    <w:rsid w:val="000C2177"/>
    <w:rsid w:val="000C6231"/>
    <w:rsid w:val="000C6C96"/>
    <w:rsid w:val="000D0181"/>
    <w:rsid w:val="000D0628"/>
    <w:rsid w:val="000D77CD"/>
    <w:rsid w:val="000E0DAB"/>
    <w:rsid w:val="000E27F8"/>
    <w:rsid w:val="000E3B82"/>
    <w:rsid w:val="000E55D9"/>
    <w:rsid w:val="000E787D"/>
    <w:rsid w:val="000F07F8"/>
    <w:rsid w:val="000F45EC"/>
    <w:rsid w:val="000F5DFC"/>
    <w:rsid w:val="00100AFD"/>
    <w:rsid w:val="00100EC1"/>
    <w:rsid w:val="00101473"/>
    <w:rsid w:val="0010175E"/>
    <w:rsid w:val="00105DFC"/>
    <w:rsid w:val="00110099"/>
    <w:rsid w:val="00110800"/>
    <w:rsid w:val="00112A16"/>
    <w:rsid w:val="00114F36"/>
    <w:rsid w:val="00115372"/>
    <w:rsid w:val="0011761A"/>
    <w:rsid w:val="00121FD0"/>
    <w:rsid w:val="001305A6"/>
    <w:rsid w:val="00130EA0"/>
    <w:rsid w:val="0013220F"/>
    <w:rsid w:val="001348B5"/>
    <w:rsid w:val="0013562E"/>
    <w:rsid w:val="001359F0"/>
    <w:rsid w:val="00144BD1"/>
    <w:rsid w:val="0014678E"/>
    <w:rsid w:val="00147112"/>
    <w:rsid w:val="00151D0E"/>
    <w:rsid w:val="00154913"/>
    <w:rsid w:val="00155423"/>
    <w:rsid w:val="001567C0"/>
    <w:rsid w:val="0016114D"/>
    <w:rsid w:val="00162237"/>
    <w:rsid w:val="00166422"/>
    <w:rsid w:val="00167A96"/>
    <w:rsid w:val="00167AF2"/>
    <w:rsid w:val="00167F42"/>
    <w:rsid w:val="00170E60"/>
    <w:rsid w:val="0017107C"/>
    <w:rsid w:val="00175417"/>
    <w:rsid w:val="00176EF9"/>
    <w:rsid w:val="001830AE"/>
    <w:rsid w:val="00183DFE"/>
    <w:rsid w:val="00187E69"/>
    <w:rsid w:val="00191E7C"/>
    <w:rsid w:val="001920D0"/>
    <w:rsid w:val="0019302A"/>
    <w:rsid w:val="001A03F6"/>
    <w:rsid w:val="001A3FFD"/>
    <w:rsid w:val="001A41A6"/>
    <w:rsid w:val="001A4537"/>
    <w:rsid w:val="001B3B62"/>
    <w:rsid w:val="001B472A"/>
    <w:rsid w:val="001B5EA8"/>
    <w:rsid w:val="001C0578"/>
    <w:rsid w:val="001C1A88"/>
    <w:rsid w:val="001C3207"/>
    <w:rsid w:val="001C5A4E"/>
    <w:rsid w:val="001C5DA6"/>
    <w:rsid w:val="001C7DFA"/>
    <w:rsid w:val="001D0CE8"/>
    <w:rsid w:val="001D2194"/>
    <w:rsid w:val="001D2E5D"/>
    <w:rsid w:val="001D33CA"/>
    <w:rsid w:val="001D7C96"/>
    <w:rsid w:val="001E799E"/>
    <w:rsid w:val="001F086E"/>
    <w:rsid w:val="001F5910"/>
    <w:rsid w:val="001F60E6"/>
    <w:rsid w:val="001F64EE"/>
    <w:rsid w:val="001F6776"/>
    <w:rsid w:val="001F6A45"/>
    <w:rsid w:val="001F77C5"/>
    <w:rsid w:val="001F7F36"/>
    <w:rsid w:val="0020303E"/>
    <w:rsid w:val="002049A7"/>
    <w:rsid w:val="002052ED"/>
    <w:rsid w:val="00205DAC"/>
    <w:rsid w:val="00207B90"/>
    <w:rsid w:val="00207F2F"/>
    <w:rsid w:val="0021511B"/>
    <w:rsid w:val="0021569C"/>
    <w:rsid w:val="00225E26"/>
    <w:rsid w:val="00232420"/>
    <w:rsid w:val="00233D95"/>
    <w:rsid w:val="002347E3"/>
    <w:rsid w:val="002350B7"/>
    <w:rsid w:val="00241E20"/>
    <w:rsid w:val="00242461"/>
    <w:rsid w:val="00242577"/>
    <w:rsid w:val="002431FD"/>
    <w:rsid w:val="00243A77"/>
    <w:rsid w:val="002461FC"/>
    <w:rsid w:val="002511B6"/>
    <w:rsid w:val="00252450"/>
    <w:rsid w:val="00253B35"/>
    <w:rsid w:val="002545ED"/>
    <w:rsid w:val="00256188"/>
    <w:rsid w:val="002601CB"/>
    <w:rsid w:val="00271A9D"/>
    <w:rsid w:val="0027283F"/>
    <w:rsid w:val="00274DA4"/>
    <w:rsid w:val="00276BAC"/>
    <w:rsid w:val="00280F7F"/>
    <w:rsid w:val="00283831"/>
    <w:rsid w:val="00285B15"/>
    <w:rsid w:val="00287601"/>
    <w:rsid w:val="002906B7"/>
    <w:rsid w:val="002907FC"/>
    <w:rsid w:val="00294649"/>
    <w:rsid w:val="00294F16"/>
    <w:rsid w:val="00295245"/>
    <w:rsid w:val="00295592"/>
    <w:rsid w:val="002971BD"/>
    <w:rsid w:val="002A1E06"/>
    <w:rsid w:val="002A40E5"/>
    <w:rsid w:val="002A5EFD"/>
    <w:rsid w:val="002A6BED"/>
    <w:rsid w:val="002B1AC9"/>
    <w:rsid w:val="002B1CD5"/>
    <w:rsid w:val="002B3CD2"/>
    <w:rsid w:val="002B568E"/>
    <w:rsid w:val="002B6823"/>
    <w:rsid w:val="002C0FEE"/>
    <w:rsid w:val="002C1C24"/>
    <w:rsid w:val="002C7479"/>
    <w:rsid w:val="002D129E"/>
    <w:rsid w:val="002D25F7"/>
    <w:rsid w:val="002D3266"/>
    <w:rsid w:val="002D3C8F"/>
    <w:rsid w:val="002D4080"/>
    <w:rsid w:val="002D5032"/>
    <w:rsid w:val="002D52D3"/>
    <w:rsid w:val="002D5548"/>
    <w:rsid w:val="002D5AE9"/>
    <w:rsid w:val="002D6F35"/>
    <w:rsid w:val="002D7166"/>
    <w:rsid w:val="002E0E80"/>
    <w:rsid w:val="002E22E5"/>
    <w:rsid w:val="002E517E"/>
    <w:rsid w:val="002E693B"/>
    <w:rsid w:val="002F0506"/>
    <w:rsid w:val="002F21BC"/>
    <w:rsid w:val="002F5BD8"/>
    <w:rsid w:val="002F730A"/>
    <w:rsid w:val="0030361F"/>
    <w:rsid w:val="00305602"/>
    <w:rsid w:val="00306D0C"/>
    <w:rsid w:val="0031263C"/>
    <w:rsid w:val="003130EE"/>
    <w:rsid w:val="00313290"/>
    <w:rsid w:val="0032099A"/>
    <w:rsid w:val="00321A4C"/>
    <w:rsid w:val="00321BD1"/>
    <w:rsid w:val="00325FE6"/>
    <w:rsid w:val="003275E1"/>
    <w:rsid w:val="00330096"/>
    <w:rsid w:val="003308DE"/>
    <w:rsid w:val="003309F5"/>
    <w:rsid w:val="0033272B"/>
    <w:rsid w:val="003344C9"/>
    <w:rsid w:val="0033746E"/>
    <w:rsid w:val="00344D2B"/>
    <w:rsid w:val="00346811"/>
    <w:rsid w:val="003546E2"/>
    <w:rsid w:val="00357377"/>
    <w:rsid w:val="00363284"/>
    <w:rsid w:val="003634B0"/>
    <w:rsid w:val="00376747"/>
    <w:rsid w:val="00376B8D"/>
    <w:rsid w:val="0037730A"/>
    <w:rsid w:val="00382119"/>
    <w:rsid w:val="003845CA"/>
    <w:rsid w:val="00385199"/>
    <w:rsid w:val="0038655E"/>
    <w:rsid w:val="00386E12"/>
    <w:rsid w:val="00393BB0"/>
    <w:rsid w:val="00396E5D"/>
    <w:rsid w:val="003A2103"/>
    <w:rsid w:val="003A32AA"/>
    <w:rsid w:val="003A358E"/>
    <w:rsid w:val="003A428B"/>
    <w:rsid w:val="003A6DE6"/>
    <w:rsid w:val="003A7130"/>
    <w:rsid w:val="003B0A85"/>
    <w:rsid w:val="003B0C3C"/>
    <w:rsid w:val="003C04AB"/>
    <w:rsid w:val="003C11E4"/>
    <w:rsid w:val="003C12DC"/>
    <w:rsid w:val="003C1419"/>
    <w:rsid w:val="003C1A6C"/>
    <w:rsid w:val="003C2723"/>
    <w:rsid w:val="003C33FA"/>
    <w:rsid w:val="003C3A2B"/>
    <w:rsid w:val="003C65A3"/>
    <w:rsid w:val="003C7DA5"/>
    <w:rsid w:val="003D3C88"/>
    <w:rsid w:val="003D5D2D"/>
    <w:rsid w:val="003E0E43"/>
    <w:rsid w:val="003E4A72"/>
    <w:rsid w:val="003E696E"/>
    <w:rsid w:val="003F3674"/>
    <w:rsid w:val="003F4483"/>
    <w:rsid w:val="003F5212"/>
    <w:rsid w:val="00401FAE"/>
    <w:rsid w:val="00405617"/>
    <w:rsid w:val="0040688C"/>
    <w:rsid w:val="00406FF3"/>
    <w:rsid w:val="0040762C"/>
    <w:rsid w:val="00407F0D"/>
    <w:rsid w:val="00410268"/>
    <w:rsid w:val="00414C5C"/>
    <w:rsid w:val="00414FC6"/>
    <w:rsid w:val="00415F74"/>
    <w:rsid w:val="00417B15"/>
    <w:rsid w:val="0042344F"/>
    <w:rsid w:val="00423846"/>
    <w:rsid w:val="00423D35"/>
    <w:rsid w:val="00424348"/>
    <w:rsid w:val="00424846"/>
    <w:rsid w:val="00431DB2"/>
    <w:rsid w:val="004356E9"/>
    <w:rsid w:val="00437C03"/>
    <w:rsid w:val="00441BFF"/>
    <w:rsid w:val="00444880"/>
    <w:rsid w:val="004449B4"/>
    <w:rsid w:val="00450741"/>
    <w:rsid w:val="00453CF8"/>
    <w:rsid w:val="00463839"/>
    <w:rsid w:val="00464D4C"/>
    <w:rsid w:val="00465BED"/>
    <w:rsid w:val="00465C4D"/>
    <w:rsid w:val="00470C1A"/>
    <w:rsid w:val="00470CC6"/>
    <w:rsid w:val="00473EF8"/>
    <w:rsid w:val="0047642C"/>
    <w:rsid w:val="004806FD"/>
    <w:rsid w:val="00482099"/>
    <w:rsid w:val="004839A6"/>
    <w:rsid w:val="0048535C"/>
    <w:rsid w:val="00485424"/>
    <w:rsid w:val="00486D2E"/>
    <w:rsid w:val="00490E63"/>
    <w:rsid w:val="00492F36"/>
    <w:rsid w:val="00495D32"/>
    <w:rsid w:val="004A08B0"/>
    <w:rsid w:val="004A3596"/>
    <w:rsid w:val="004B28F3"/>
    <w:rsid w:val="004B4B41"/>
    <w:rsid w:val="004B4D33"/>
    <w:rsid w:val="004B5FBC"/>
    <w:rsid w:val="004C1A60"/>
    <w:rsid w:val="004C7113"/>
    <w:rsid w:val="004C7E4E"/>
    <w:rsid w:val="004C7F6F"/>
    <w:rsid w:val="004D1097"/>
    <w:rsid w:val="004D461A"/>
    <w:rsid w:val="004D54A9"/>
    <w:rsid w:val="004D5A75"/>
    <w:rsid w:val="004D7BC6"/>
    <w:rsid w:val="004E296A"/>
    <w:rsid w:val="004E43C3"/>
    <w:rsid w:val="004E4E6F"/>
    <w:rsid w:val="004E7AF5"/>
    <w:rsid w:val="004F0252"/>
    <w:rsid w:val="004F0BE0"/>
    <w:rsid w:val="004F15F5"/>
    <w:rsid w:val="004F172D"/>
    <w:rsid w:val="004F2C17"/>
    <w:rsid w:val="004F71F1"/>
    <w:rsid w:val="004F7FEB"/>
    <w:rsid w:val="00501884"/>
    <w:rsid w:val="0050235A"/>
    <w:rsid w:val="00506270"/>
    <w:rsid w:val="00507763"/>
    <w:rsid w:val="00507E56"/>
    <w:rsid w:val="005114BC"/>
    <w:rsid w:val="005125AE"/>
    <w:rsid w:val="00515034"/>
    <w:rsid w:val="00516012"/>
    <w:rsid w:val="005164B8"/>
    <w:rsid w:val="00516B9D"/>
    <w:rsid w:val="00522598"/>
    <w:rsid w:val="00527428"/>
    <w:rsid w:val="005279D6"/>
    <w:rsid w:val="0053048C"/>
    <w:rsid w:val="00537B4E"/>
    <w:rsid w:val="00537BAA"/>
    <w:rsid w:val="00547AC5"/>
    <w:rsid w:val="00551843"/>
    <w:rsid w:val="005526A0"/>
    <w:rsid w:val="005577C5"/>
    <w:rsid w:val="005616B5"/>
    <w:rsid w:val="00563DBB"/>
    <w:rsid w:val="005646EC"/>
    <w:rsid w:val="00564CF7"/>
    <w:rsid w:val="0056536A"/>
    <w:rsid w:val="005668A1"/>
    <w:rsid w:val="0056762E"/>
    <w:rsid w:val="00570F55"/>
    <w:rsid w:val="005810B8"/>
    <w:rsid w:val="005812D8"/>
    <w:rsid w:val="0058153E"/>
    <w:rsid w:val="005817C4"/>
    <w:rsid w:val="00581B1F"/>
    <w:rsid w:val="00582A21"/>
    <w:rsid w:val="0058596F"/>
    <w:rsid w:val="0058600E"/>
    <w:rsid w:val="00586E2A"/>
    <w:rsid w:val="0059023B"/>
    <w:rsid w:val="0059397F"/>
    <w:rsid w:val="00594F8B"/>
    <w:rsid w:val="00596C28"/>
    <w:rsid w:val="005A0484"/>
    <w:rsid w:val="005A13AC"/>
    <w:rsid w:val="005A454C"/>
    <w:rsid w:val="005A7328"/>
    <w:rsid w:val="005B0051"/>
    <w:rsid w:val="005B5EB3"/>
    <w:rsid w:val="005B7FDD"/>
    <w:rsid w:val="005C1202"/>
    <w:rsid w:val="005C5F91"/>
    <w:rsid w:val="005C62C5"/>
    <w:rsid w:val="005D0AA4"/>
    <w:rsid w:val="005D0C92"/>
    <w:rsid w:val="005D2937"/>
    <w:rsid w:val="005D3213"/>
    <w:rsid w:val="005D71AF"/>
    <w:rsid w:val="005E3E79"/>
    <w:rsid w:val="005E4A80"/>
    <w:rsid w:val="005E66C4"/>
    <w:rsid w:val="005E6E88"/>
    <w:rsid w:val="005F22A8"/>
    <w:rsid w:val="005F40CC"/>
    <w:rsid w:val="005F5500"/>
    <w:rsid w:val="005F639F"/>
    <w:rsid w:val="005F6967"/>
    <w:rsid w:val="00603056"/>
    <w:rsid w:val="00604DBD"/>
    <w:rsid w:val="006064AA"/>
    <w:rsid w:val="0061146A"/>
    <w:rsid w:val="006124FF"/>
    <w:rsid w:val="006136CF"/>
    <w:rsid w:val="00613F3F"/>
    <w:rsid w:val="00615AE5"/>
    <w:rsid w:val="006226D5"/>
    <w:rsid w:val="00622D0C"/>
    <w:rsid w:val="00623EE7"/>
    <w:rsid w:val="00625337"/>
    <w:rsid w:val="0062668A"/>
    <w:rsid w:val="0063196B"/>
    <w:rsid w:val="00633199"/>
    <w:rsid w:val="0063385A"/>
    <w:rsid w:val="00633AD4"/>
    <w:rsid w:val="00640EDB"/>
    <w:rsid w:val="0064178E"/>
    <w:rsid w:val="00642949"/>
    <w:rsid w:val="00644C43"/>
    <w:rsid w:val="00651C42"/>
    <w:rsid w:val="00657776"/>
    <w:rsid w:val="00660387"/>
    <w:rsid w:val="00662671"/>
    <w:rsid w:val="00667B00"/>
    <w:rsid w:val="00670959"/>
    <w:rsid w:val="00673342"/>
    <w:rsid w:val="00673B4D"/>
    <w:rsid w:val="00675EC9"/>
    <w:rsid w:val="006767A8"/>
    <w:rsid w:val="006816B2"/>
    <w:rsid w:val="006846FF"/>
    <w:rsid w:val="006848E8"/>
    <w:rsid w:val="006852CF"/>
    <w:rsid w:val="00685827"/>
    <w:rsid w:val="00685BBB"/>
    <w:rsid w:val="006908B0"/>
    <w:rsid w:val="00690B94"/>
    <w:rsid w:val="00690C10"/>
    <w:rsid w:val="00691DBE"/>
    <w:rsid w:val="006963A5"/>
    <w:rsid w:val="006971A7"/>
    <w:rsid w:val="006A1106"/>
    <w:rsid w:val="006A11E1"/>
    <w:rsid w:val="006A1393"/>
    <w:rsid w:val="006A1572"/>
    <w:rsid w:val="006A236B"/>
    <w:rsid w:val="006A66A0"/>
    <w:rsid w:val="006B2012"/>
    <w:rsid w:val="006B329E"/>
    <w:rsid w:val="006B5312"/>
    <w:rsid w:val="006B7EF1"/>
    <w:rsid w:val="006C0A26"/>
    <w:rsid w:val="006C0A80"/>
    <w:rsid w:val="006C365B"/>
    <w:rsid w:val="006C4DB0"/>
    <w:rsid w:val="006D2968"/>
    <w:rsid w:val="006D6D55"/>
    <w:rsid w:val="006E3A16"/>
    <w:rsid w:val="006F1AEE"/>
    <w:rsid w:val="006F238D"/>
    <w:rsid w:val="006F28DA"/>
    <w:rsid w:val="006F4CCB"/>
    <w:rsid w:val="006F7CAE"/>
    <w:rsid w:val="00701929"/>
    <w:rsid w:val="00702E74"/>
    <w:rsid w:val="0070315C"/>
    <w:rsid w:val="007036AA"/>
    <w:rsid w:val="0070574F"/>
    <w:rsid w:val="00705C06"/>
    <w:rsid w:val="00707EE2"/>
    <w:rsid w:val="007104E7"/>
    <w:rsid w:val="00712595"/>
    <w:rsid w:val="00712D85"/>
    <w:rsid w:val="00715DCF"/>
    <w:rsid w:val="007162E7"/>
    <w:rsid w:val="00720459"/>
    <w:rsid w:val="00726431"/>
    <w:rsid w:val="00731AA1"/>
    <w:rsid w:val="007321D0"/>
    <w:rsid w:val="007345DA"/>
    <w:rsid w:val="00734DD1"/>
    <w:rsid w:val="00735197"/>
    <w:rsid w:val="007352D0"/>
    <w:rsid w:val="0073626C"/>
    <w:rsid w:val="0073665B"/>
    <w:rsid w:val="00737C0A"/>
    <w:rsid w:val="00740223"/>
    <w:rsid w:val="00741F81"/>
    <w:rsid w:val="00742B8D"/>
    <w:rsid w:val="00745371"/>
    <w:rsid w:val="007512C8"/>
    <w:rsid w:val="007549C2"/>
    <w:rsid w:val="00756574"/>
    <w:rsid w:val="0076052F"/>
    <w:rsid w:val="00760B24"/>
    <w:rsid w:val="00761884"/>
    <w:rsid w:val="00764CB8"/>
    <w:rsid w:val="00764DF2"/>
    <w:rsid w:val="00766B34"/>
    <w:rsid w:val="007739F0"/>
    <w:rsid w:val="0078088F"/>
    <w:rsid w:val="0078125C"/>
    <w:rsid w:val="0078307F"/>
    <w:rsid w:val="00785508"/>
    <w:rsid w:val="007859CD"/>
    <w:rsid w:val="00786046"/>
    <w:rsid w:val="007866A3"/>
    <w:rsid w:val="007869DF"/>
    <w:rsid w:val="00787CAC"/>
    <w:rsid w:val="0079099C"/>
    <w:rsid w:val="0079326A"/>
    <w:rsid w:val="007974B4"/>
    <w:rsid w:val="007977A1"/>
    <w:rsid w:val="007A03AC"/>
    <w:rsid w:val="007A1E03"/>
    <w:rsid w:val="007A1E8B"/>
    <w:rsid w:val="007A21B5"/>
    <w:rsid w:val="007A2FCF"/>
    <w:rsid w:val="007A65D9"/>
    <w:rsid w:val="007A7F37"/>
    <w:rsid w:val="007B31C0"/>
    <w:rsid w:val="007B3B61"/>
    <w:rsid w:val="007B56A0"/>
    <w:rsid w:val="007B5F54"/>
    <w:rsid w:val="007B60F5"/>
    <w:rsid w:val="007C004E"/>
    <w:rsid w:val="007C096C"/>
    <w:rsid w:val="007C0AAE"/>
    <w:rsid w:val="007C34EB"/>
    <w:rsid w:val="007C39D5"/>
    <w:rsid w:val="007C4816"/>
    <w:rsid w:val="007D0B9A"/>
    <w:rsid w:val="007D1F93"/>
    <w:rsid w:val="007D515B"/>
    <w:rsid w:val="007E015D"/>
    <w:rsid w:val="007E05A1"/>
    <w:rsid w:val="007E36FE"/>
    <w:rsid w:val="007E45CF"/>
    <w:rsid w:val="007E4821"/>
    <w:rsid w:val="007E4AF6"/>
    <w:rsid w:val="007E4F98"/>
    <w:rsid w:val="007E56F0"/>
    <w:rsid w:val="007F0B07"/>
    <w:rsid w:val="007F4856"/>
    <w:rsid w:val="007F4F28"/>
    <w:rsid w:val="007F566B"/>
    <w:rsid w:val="007F5B09"/>
    <w:rsid w:val="00802B91"/>
    <w:rsid w:val="0080362C"/>
    <w:rsid w:val="00807167"/>
    <w:rsid w:val="00810A72"/>
    <w:rsid w:val="00810C5B"/>
    <w:rsid w:val="00811086"/>
    <w:rsid w:val="00811CD6"/>
    <w:rsid w:val="008142D2"/>
    <w:rsid w:val="008151D4"/>
    <w:rsid w:val="008152D1"/>
    <w:rsid w:val="0082110E"/>
    <w:rsid w:val="008218FA"/>
    <w:rsid w:val="00826B66"/>
    <w:rsid w:val="00832143"/>
    <w:rsid w:val="00832420"/>
    <w:rsid w:val="00832AD4"/>
    <w:rsid w:val="00833369"/>
    <w:rsid w:val="0083664A"/>
    <w:rsid w:val="00841AC3"/>
    <w:rsid w:val="00847EA8"/>
    <w:rsid w:val="00851397"/>
    <w:rsid w:val="0085382C"/>
    <w:rsid w:val="00861211"/>
    <w:rsid w:val="008630C3"/>
    <w:rsid w:val="00863C73"/>
    <w:rsid w:val="0086490C"/>
    <w:rsid w:val="00864D38"/>
    <w:rsid w:val="0086533A"/>
    <w:rsid w:val="00867494"/>
    <w:rsid w:val="00870284"/>
    <w:rsid w:val="00873DD8"/>
    <w:rsid w:val="00875387"/>
    <w:rsid w:val="00877768"/>
    <w:rsid w:val="00877880"/>
    <w:rsid w:val="0088499D"/>
    <w:rsid w:val="008857E0"/>
    <w:rsid w:val="00890FA0"/>
    <w:rsid w:val="00896213"/>
    <w:rsid w:val="0089648E"/>
    <w:rsid w:val="00896671"/>
    <w:rsid w:val="00896925"/>
    <w:rsid w:val="008A3B97"/>
    <w:rsid w:val="008A4867"/>
    <w:rsid w:val="008A71DA"/>
    <w:rsid w:val="008A7275"/>
    <w:rsid w:val="008A7F43"/>
    <w:rsid w:val="008B62FF"/>
    <w:rsid w:val="008C0FA0"/>
    <w:rsid w:val="008C33DC"/>
    <w:rsid w:val="008C76E9"/>
    <w:rsid w:val="008D6B0B"/>
    <w:rsid w:val="008D7A03"/>
    <w:rsid w:val="008E0C78"/>
    <w:rsid w:val="008E28BC"/>
    <w:rsid w:val="008E413E"/>
    <w:rsid w:val="008E7167"/>
    <w:rsid w:val="008F1D6F"/>
    <w:rsid w:val="008F2209"/>
    <w:rsid w:val="008F2461"/>
    <w:rsid w:val="008F30F3"/>
    <w:rsid w:val="008F3452"/>
    <w:rsid w:val="008F52EB"/>
    <w:rsid w:val="008F606F"/>
    <w:rsid w:val="008F6EED"/>
    <w:rsid w:val="00903E8F"/>
    <w:rsid w:val="00904CD5"/>
    <w:rsid w:val="00905224"/>
    <w:rsid w:val="0090626D"/>
    <w:rsid w:val="00907611"/>
    <w:rsid w:val="009106E1"/>
    <w:rsid w:val="00910DC1"/>
    <w:rsid w:val="00911E30"/>
    <w:rsid w:val="00912AD4"/>
    <w:rsid w:val="00914429"/>
    <w:rsid w:val="00914EA6"/>
    <w:rsid w:val="00914F54"/>
    <w:rsid w:val="0092149A"/>
    <w:rsid w:val="00925531"/>
    <w:rsid w:val="009255E5"/>
    <w:rsid w:val="00926677"/>
    <w:rsid w:val="00931B4E"/>
    <w:rsid w:val="00933F07"/>
    <w:rsid w:val="0093446B"/>
    <w:rsid w:val="00935087"/>
    <w:rsid w:val="009351E3"/>
    <w:rsid w:val="009374E3"/>
    <w:rsid w:val="0094471A"/>
    <w:rsid w:val="00951E5E"/>
    <w:rsid w:val="00952640"/>
    <w:rsid w:val="009527E8"/>
    <w:rsid w:val="00953A7A"/>
    <w:rsid w:val="00954884"/>
    <w:rsid w:val="00954C4E"/>
    <w:rsid w:val="00955A34"/>
    <w:rsid w:val="0096199A"/>
    <w:rsid w:val="00962632"/>
    <w:rsid w:val="0096335C"/>
    <w:rsid w:val="009635AE"/>
    <w:rsid w:val="0096371E"/>
    <w:rsid w:val="00966FE4"/>
    <w:rsid w:val="00967623"/>
    <w:rsid w:val="00967C1B"/>
    <w:rsid w:val="0097302A"/>
    <w:rsid w:val="00973A26"/>
    <w:rsid w:val="00980FF9"/>
    <w:rsid w:val="00982C96"/>
    <w:rsid w:val="00982D80"/>
    <w:rsid w:val="00983E56"/>
    <w:rsid w:val="00986233"/>
    <w:rsid w:val="00997B99"/>
    <w:rsid w:val="009A51DF"/>
    <w:rsid w:val="009A5E03"/>
    <w:rsid w:val="009A7151"/>
    <w:rsid w:val="009B3670"/>
    <w:rsid w:val="009B49A5"/>
    <w:rsid w:val="009B710C"/>
    <w:rsid w:val="009C61E9"/>
    <w:rsid w:val="009D0625"/>
    <w:rsid w:val="009D1C67"/>
    <w:rsid w:val="009D1F27"/>
    <w:rsid w:val="009D2478"/>
    <w:rsid w:val="009D5D89"/>
    <w:rsid w:val="009D70C2"/>
    <w:rsid w:val="009E1681"/>
    <w:rsid w:val="009E304A"/>
    <w:rsid w:val="009E4945"/>
    <w:rsid w:val="009F0DDB"/>
    <w:rsid w:val="009F3521"/>
    <w:rsid w:val="009F3F21"/>
    <w:rsid w:val="009F4A3A"/>
    <w:rsid w:val="009F5834"/>
    <w:rsid w:val="00A04777"/>
    <w:rsid w:val="00A051D5"/>
    <w:rsid w:val="00A05438"/>
    <w:rsid w:val="00A063B9"/>
    <w:rsid w:val="00A07290"/>
    <w:rsid w:val="00A10221"/>
    <w:rsid w:val="00A10ED8"/>
    <w:rsid w:val="00A1548E"/>
    <w:rsid w:val="00A15706"/>
    <w:rsid w:val="00A16B7C"/>
    <w:rsid w:val="00A20EAA"/>
    <w:rsid w:val="00A22BB6"/>
    <w:rsid w:val="00A2656C"/>
    <w:rsid w:val="00A26FC8"/>
    <w:rsid w:val="00A27335"/>
    <w:rsid w:val="00A307E2"/>
    <w:rsid w:val="00A30F6F"/>
    <w:rsid w:val="00A31512"/>
    <w:rsid w:val="00A3229F"/>
    <w:rsid w:val="00A33D57"/>
    <w:rsid w:val="00A33F8E"/>
    <w:rsid w:val="00A365BB"/>
    <w:rsid w:val="00A376AB"/>
    <w:rsid w:val="00A4139E"/>
    <w:rsid w:val="00A42B6F"/>
    <w:rsid w:val="00A42C27"/>
    <w:rsid w:val="00A4785E"/>
    <w:rsid w:val="00A47D25"/>
    <w:rsid w:val="00A5352E"/>
    <w:rsid w:val="00A539CE"/>
    <w:rsid w:val="00A548F3"/>
    <w:rsid w:val="00A551C5"/>
    <w:rsid w:val="00A55716"/>
    <w:rsid w:val="00A56204"/>
    <w:rsid w:val="00A56B28"/>
    <w:rsid w:val="00A60013"/>
    <w:rsid w:val="00A63945"/>
    <w:rsid w:val="00A63D01"/>
    <w:rsid w:val="00A64283"/>
    <w:rsid w:val="00A64940"/>
    <w:rsid w:val="00A66CEB"/>
    <w:rsid w:val="00A67F98"/>
    <w:rsid w:val="00A71173"/>
    <w:rsid w:val="00A72504"/>
    <w:rsid w:val="00A72E37"/>
    <w:rsid w:val="00A738E5"/>
    <w:rsid w:val="00A73BCB"/>
    <w:rsid w:val="00A754F2"/>
    <w:rsid w:val="00A77F3C"/>
    <w:rsid w:val="00A820F2"/>
    <w:rsid w:val="00A83219"/>
    <w:rsid w:val="00A84656"/>
    <w:rsid w:val="00A861C9"/>
    <w:rsid w:val="00A86AEF"/>
    <w:rsid w:val="00A96888"/>
    <w:rsid w:val="00A96E9B"/>
    <w:rsid w:val="00A97063"/>
    <w:rsid w:val="00A974B4"/>
    <w:rsid w:val="00A97D54"/>
    <w:rsid w:val="00AA3449"/>
    <w:rsid w:val="00AA418D"/>
    <w:rsid w:val="00AA4C3E"/>
    <w:rsid w:val="00AA67E0"/>
    <w:rsid w:val="00AA6FC3"/>
    <w:rsid w:val="00AB0914"/>
    <w:rsid w:val="00AB0A49"/>
    <w:rsid w:val="00AB2069"/>
    <w:rsid w:val="00AB2337"/>
    <w:rsid w:val="00AB501A"/>
    <w:rsid w:val="00AB6079"/>
    <w:rsid w:val="00AB69CD"/>
    <w:rsid w:val="00AB7082"/>
    <w:rsid w:val="00AC348D"/>
    <w:rsid w:val="00AD1D54"/>
    <w:rsid w:val="00AD3BDA"/>
    <w:rsid w:val="00AD3F86"/>
    <w:rsid w:val="00AD51B3"/>
    <w:rsid w:val="00AE0035"/>
    <w:rsid w:val="00AE0045"/>
    <w:rsid w:val="00AE0B66"/>
    <w:rsid w:val="00AE26F9"/>
    <w:rsid w:val="00AE29E6"/>
    <w:rsid w:val="00AF137C"/>
    <w:rsid w:val="00AF3ACC"/>
    <w:rsid w:val="00AF3DFB"/>
    <w:rsid w:val="00AF7788"/>
    <w:rsid w:val="00AF7899"/>
    <w:rsid w:val="00B0206F"/>
    <w:rsid w:val="00B033D6"/>
    <w:rsid w:val="00B046BB"/>
    <w:rsid w:val="00B04B13"/>
    <w:rsid w:val="00B07D94"/>
    <w:rsid w:val="00B13658"/>
    <w:rsid w:val="00B14269"/>
    <w:rsid w:val="00B240F4"/>
    <w:rsid w:val="00B26166"/>
    <w:rsid w:val="00B30C7C"/>
    <w:rsid w:val="00B318ED"/>
    <w:rsid w:val="00B32812"/>
    <w:rsid w:val="00B332C2"/>
    <w:rsid w:val="00B366FC"/>
    <w:rsid w:val="00B36807"/>
    <w:rsid w:val="00B40B89"/>
    <w:rsid w:val="00B412FC"/>
    <w:rsid w:val="00B444E9"/>
    <w:rsid w:val="00B472E4"/>
    <w:rsid w:val="00B47668"/>
    <w:rsid w:val="00B47963"/>
    <w:rsid w:val="00B47A62"/>
    <w:rsid w:val="00B47DDF"/>
    <w:rsid w:val="00B54A00"/>
    <w:rsid w:val="00B56D6D"/>
    <w:rsid w:val="00B575C8"/>
    <w:rsid w:val="00B613CB"/>
    <w:rsid w:val="00B61479"/>
    <w:rsid w:val="00B66503"/>
    <w:rsid w:val="00B67BBF"/>
    <w:rsid w:val="00B70640"/>
    <w:rsid w:val="00B70800"/>
    <w:rsid w:val="00B72E50"/>
    <w:rsid w:val="00B73B69"/>
    <w:rsid w:val="00B77B6F"/>
    <w:rsid w:val="00B80828"/>
    <w:rsid w:val="00B86B47"/>
    <w:rsid w:val="00B90977"/>
    <w:rsid w:val="00B95F47"/>
    <w:rsid w:val="00B97055"/>
    <w:rsid w:val="00BA093E"/>
    <w:rsid w:val="00BA0DDB"/>
    <w:rsid w:val="00BA18EC"/>
    <w:rsid w:val="00BA1E74"/>
    <w:rsid w:val="00BA5725"/>
    <w:rsid w:val="00BA6AF1"/>
    <w:rsid w:val="00BB087D"/>
    <w:rsid w:val="00BB0F17"/>
    <w:rsid w:val="00BB2369"/>
    <w:rsid w:val="00BB2793"/>
    <w:rsid w:val="00BB4232"/>
    <w:rsid w:val="00BB515F"/>
    <w:rsid w:val="00BC0CE6"/>
    <w:rsid w:val="00BC1B9A"/>
    <w:rsid w:val="00BC425F"/>
    <w:rsid w:val="00BC4D2E"/>
    <w:rsid w:val="00BD2C7B"/>
    <w:rsid w:val="00BD4D28"/>
    <w:rsid w:val="00BD6E3F"/>
    <w:rsid w:val="00BE0F93"/>
    <w:rsid w:val="00BE1D4C"/>
    <w:rsid w:val="00BE224A"/>
    <w:rsid w:val="00BE22DA"/>
    <w:rsid w:val="00BE322F"/>
    <w:rsid w:val="00BE5208"/>
    <w:rsid w:val="00BE656F"/>
    <w:rsid w:val="00BE7D43"/>
    <w:rsid w:val="00BF35D5"/>
    <w:rsid w:val="00BF543D"/>
    <w:rsid w:val="00BF5445"/>
    <w:rsid w:val="00BF5A2B"/>
    <w:rsid w:val="00BF61E1"/>
    <w:rsid w:val="00C013E7"/>
    <w:rsid w:val="00C063D7"/>
    <w:rsid w:val="00C075BD"/>
    <w:rsid w:val="00C1104F"/>
    <w:rsid w:val="00C117A2"/>
    <w:rsid w:val="00C12E60"/>
    <w:rsid w:val="00C13150"/>
    <w:rsid w:val="00C15DF4"/>
    <w:rsid w:val="00C16F7B"/>
    <w:rsid w:val="00C170F1"/>
    <w:rsid w:val="00C2056C"/>
    <w:rsid w:val="00C212E4"/>
    <w:rsid w:val="00C26ADA"/>
    <w:rsid w:val="00C27DA8"/>
    <w:rsid w:val="00C27E31"/>
    <w:rsid w:val="00C31DAF"/>
    <w:rsid w:val="00C33231"/>
    <w:rsid w:val="00C341C8"/>
    <w:rsid w:val="00C35DBD"/>
    <w:rsid w:val="00C36535"/>
    <w:rsid w:val="00C40FC5"/>
    <w:rsid w:val="00C46C33"/>
    <w:rsid w:val="00C470AA"/>
    <w:rsid w:val="00C47AAD"/>
    <w:rsid w:val="00C50F00"/>
    <w:rsid w:val="00C543BB"/>
    <w:rsid w:val="00C5531C"/>
    <w:rsid w:val="00C56ABE"/>
    <w:rsid w:val="00C578B9"/>
    <w:rsid w:val="00C6172F"/>
    <w:rsid w:val="00C62ED3"/>
    <w:rsid w:val="00C64013"/>
    <w:rsid w:val="00C7274E"/>
    <w:rsid w:val="00C733A5"/>
    <w:rsid w:val="00C759A0"/>
    <w:rsid w:val="00C76449"/>
    <w:rsid w:val="00C76652"/>
    <w:rsid w:val="00C77587"/>
    <w:rsid w:val="00C80750"/>
    <w:rsid w:val="00C8154A"/>
    <w:rsid w:val="00C82655"/>
    <w:rsid w:val="00C8272D"/>
    <w:rsid w:val="00C8280F"/>
    <w:rsid w:val="00C829DA"/>
    <w:rsid w:val="00C82C12"/>
    <w:rsid w:val="00C84CA9"/>
    <w:rsid w:val="00C84EDA"/>
    <w:rsid w:val="00C8508D"/>
    <w:rsid w:val="00C902CD"/>
    <w:rsid w:val="00C933A0"/>
    <w:rsid w:val="00C943C4"/>
    <w:rsid w:val="00C9755E"/>
    <w:rsid w:val="00C97603"/>
    <w:rsid w:val="00CA06AC"/>
    <w:rsid w:val="00CA4BE0"/>
    <w:rsid w:val="00CA7582"/>
    <w:rsid w:val="00CA7A66"/>
    <w:rsid w:val="00CB040B"/>
    <w:rsid w:val="00CB0782"/>
    <w:rsid w:val="00CB36D4"/>
    <w:rsid w:val="00CB4D8E"/>
    <w:rsid w:val="00CB5021"/>
    <w:rsid w:val="00CB7D1A"/>
    <w:rsid w:val="00CC0C57"/>
    <w:rsid w:val="00CC246A"/>
    <w:rsid w:val="00CC4142"/>
    <w:rsid w:val="00CC4CC8"/>
    <w:rsid w:val="00CC4EFF"/>
    <w:rsid w:val="00CD2966"/>
    <w:rsid w:val="00CD31BE"/>
    <w:rsid w:val="00CD5DB2"/>
    <w:rsid w:val="00CD74A2"/>
    <w:rsid w:val="00CD79DD"/>
    <w:rsid w:val="00CE0534"/>
    <w:rsid w:val="00CE26B3"/>
    <w:rsid w:val="00CE42AD"/>
    <w:rsid w:val="00CE6995"/>
    <w:rsid w:val="00CE6E9E"/>
    <w:rsid w:val="00CE755B"/>
    <w:rsid w:val="00CF0202"/>
    <w:rsid w:val="00CF1CC7"/>
    <w:rsid w:val="00CF24F8"/>
    <w:rsid w:val="00CF434F"/>
    <w:rsid w:val="00CF6C03"/>
    <w:rsid w:val="00CF72CA"/>
    <w:rsid w:val="00D00B47"/>
    <w:rsid w:val="00D03B63"/>
    <w:rsid w:val="00D04611"/>
    <w:rsid w:val="00D07454"/>
    <w:rsid w:val="00D0749C"/>
    <w:rsid w:val="00D11D28"/>
    <w:rsid w:val="00D135E6"/>
    <w:rsid w:val="00D14794"/>
    <w:rsid w:val="00D16DD8"/>
    <w:rsid w:val="00D17E68"/>
    <w:rsid w:val="00D20973"/>
    <w:rsid w:val="00D24ACB"/>
    <w:rsid w:val="00D2528B"/>
    <w:rsid w:val="00D266B9"/>
    <w:rsid w:val="00D27129"/>
    <w:rsid w:val="00D27992"/>
    <w:rsid w:val="00D32BCF"/>
    <w:rsid w:val="00D33A73"/>
    <w:rsid w:val="00D40142"/>
    <w:rsid w:val="00D4051A"/>
    <w:rsid w:val="00D406E5"/>
    <w:rsid w:val="00D457B0"/>
    <w:rsid w:val="00D45D48"/>
    <w:rsid w:val="00D47289"/>
    <w:rsid w:val="00D47730"/>
    <w:rsid w:val="00D50052"/>
    <w:rsid w:val="00D54800"/>
    <w:rsid w:val="00D54F1E"/>
    <w:rsid w:val="00D557F0"/>
    <w:rsid w:val="00D568DC"/>
    <w:rsid w:val="00D5706C"/>
    <w:rsid w:val="00D641CE"/>
    <w:rsid w:val="00D64E7D"/>
    <w:rsid w:val="00D65C21"/>
    <w:rsid w:val="00D6767E"/>
    <w:rsid w:val="00D71B79"/>
    <w:rsid w:val="00D71F99"/>
    <w:rsid w:val="00D760E8"/>
    <w:rsid w:val="00D837DB"/>
    <w:rsid w:val="00D84D03"/>
    <w:rsid w:val="00D8627E"/>
    <w:rsid w:val="00D872DE"/>
    <w:rsid w:val="00D87645"/>
    <w:rsid w:val="00D9194D"/>
    <w:rsid w:val="00D92F21"/>
    <w:rsid w:val="00D935B6"/>
    <w:rsid w:val="00D94156"/>
    <w:rsid w:val="00D97EC9"/>
    <w:rsid w:val="00DA031D"/>
    <w:rsid w:val="00DA06F8"/>
    <w:rsid w:val="00DA1161"/>
    <w:rsid w:val="00DA7159"/>
    <w:rsid w:val="00DA761F"/>
    <w:rsid w:val="00DB08EE"/>
    <w:rsid w:val="00DB1778"/>
    <w:rsid w:val="00DB1A75"/>
    <w:rsid w:val="00DB28FB"/>
    <w:rsid w:val="00DB2B48"/>
    <w:rsid w:val="00DB347D"/>
    <w:rsid w:val="00DB3D23"/>
    <w:rsid w:val="00DB40CF"/>
    <w:rsid w:val="00DB474C"/>
    <w:rsid w:val="00DB48E9"/>
    <w:rsid w:val="00DB7899"/>
    <w:rsid w:val="00DC0369"/>
    <w:rsid w:val="00DC1D37"/>
    <w:rsid w:val="00DC32A3"/>
    <w:rsid w:val="00DC35AF"/>
    <w:rsid w:val="00DC7A83"/>
    <w:rsid w:val="00DD34CC"/>
    <w:rsid w:val="00DD45F4"/>
    <w:rsid w:val="00DD58B4"/>
    <w:rsid w:val="00DD70BA"/>
    <w:rsid w:val="00DE18CA"/>
    <w:rsid w:val="00DE1D01"/>
    <w:rsid w:val="00DE3EBD"/>
    <w:rsid w:val="00DE60EC"/>
    <w:rsid w:val="00DE7327"/>
    <w:rsid w:val="00DF033F"/>
    <w:rsid w:val="00DF0B77"/>
    <w:rsid w:val="00DF136C"/>
    <w:rsid w:val="00DF53DC"/>
    <w:rsid w:val="00DF6CA0"/>
    <w:rsid w:val="00DF7FAF"/>
    <w:rsid w:val="00E01B9A"/>
    <w:rsid w:val="00E045A5"/>
    <w:rsid w:val="00E169AF"/>
    <w:rsid w:val="00E20833"/>
    <w:rsid w:val="00E214F4"/>
    <w:rsid w:val="00E21B4D"/>
    <w:rsid w:val="00E24416"/>
    <w:rsid w:val="00E25D23"/>
    <w:rsid w:val="00E27B64"/>
    <w:rsid w:val="00E27FDC"/>
    <w:rsid w:val="00E316F7"/>
    <w:rsid w:val="00E35D0A"/>
    <w:rsid w:val="00E370FD"/>
    <w:rsid w:val="00E37E20"/>
    <w:rsid w:val="00E40642"/>
    <w:rsid w:val="00E40AE3"/>
    <w:rsid w:val="00E4278A"/>
    <w:rsid w:val="00E43A42"/>
    <w:rsid w:val="00E510E6"/>
    <w:rsid w:val="00E640C3"/>
    <w:rsid w:val="00E647A3"/>
    <w:rsid w:val="00E7055E"/>
    <w:rsid w:val="00E7078C"/>
    <w:rsid w:val="00E72D12"/>
    <w:rsid w:val="00E73663"/>
    <w:rsid w:val="00E82928"/>
    <w:rsid w:val="00E84D70"/>
    <w:rsid w:val="00E86878"/>
    <w:rsid w:val="00E92214"/>
    <w:rsid w:val="00E975E7"/>
    <w:rsid w:val="00E97A55"/>
    <w:rsid w:val="00EA4CA4"/>
    <w:rsid w:val="00EA6B45"/>
    <w:rsid w:val="00EA6F92"/>
    <w:rsid w:val="00EA7FA3"/>
    <w:rsid w:val="00EB22E8"/>
    <w:rsid w:val="00EB2A2B"/>
    <w:rsid w:val="00EB3001"/>
    <w:rsid w:val="00EB3C02"/>
    <w:rsid w:val="00EB3D76"/>
    <w:rsid w:val="00EB56AD"/>
    <w:rsid w:val="00EB5B74"/>
    <w:rsid w:val="00EC2DF9"/>
    <w:rsid w:val="00EC366C"/>
    <w:rsid w:val="00EC3A58"/>
    <w:rsid w:val="00EC467C"/>
    <w:rsid w:val="00EC55F3"/>
    <w:rsid w:val="00EC586F"/>
    <w:rsid w:val="00ED239C"/>
    <w:rsid w:val="00ED3FAB"/>
    <w:rsid w:val="00ED4121"/>
    <w:rsid w:val="00ED59FD"/>
    <w:rsid w:val="00EE493F"/>
    <w:rsid w:val="00EE6879"/>
    <w:rsid w:val="00EF01F5"/>
    <w:rsid w:val="00EF6505"/>
    <w:rsid w:val="00F002A6"/>
    <w:rsid w:val="00F01768"/>
    <w:rsid w:val="00F0628A"/>
    <w:rsid w:val="00F0724C"/>
    <w:rsid w:val="00F072AE"/>
    <w:rsid w:val="00F078F2"/>
    <w:rsid w:val="00F110A6"/>
    <w:rsid w:val="00F11541"/>
    <w:rsid w:val="00F1212C"/>
    <w:rsid w:val="00F15ED2"/>
    <w:rsid w:val="00F17222"/>
    <w:rsid w:val="00F17684"/>
    <w:rsid w:val="00F20F4C"/>
    <w:rsid w:val="00F22055"/>
    <w:rsid w:val="00F2389B"/>
    <w:rsid w:val="00F23A00"/>
    <w:rsid w:val="00F23CEF"/>
    <w:rsid w:val="00F256C8"/>
    <w:rsid w:val="00F25A14"/>
    <w:rsid w:val="00F302B0"/>
    <w:rsid w:val="00F32EBA"/>
    <w:rsid w:val="00F3394E"/>
    <w:rsid w:val="00F35149"/>
    <w:rsid w:val="00F35B86"/>
    <w:rsid w:val="00F36FE5"/>
    <w:rsid w:val="00F4164D"/>
    <w:rsid w:val="00F42617"/>
    <w:rsid w:val="00F43390"/>
    <w:rsid w:val="00F43853"/>
    <w:rsid w:val="00F44FF3"/>
    <w:rsid w:val="00F5482E"/>
    <w:rsid w:val="00F548F3"/>
    <w:rsid w:val="00F57D1E"/>
    <w:rsid w:val="00F57D60"/>
    <w:rsid w:val="00F62BBA"/>
    <w:rsid w:val="00F65BF4"/>
    <w:rsid w:val="00F66777"/>
    <w:rsid w:val="00F76ADF"/>
    <w:rsid w:val="00F83B2E"/>
    <w:rsid w:val="00F87F8A"/>
    <w:rsid w:val="00F908B3"/>
    <w:rsid w:val="00F93CB6"/>
    <w:rsid w:val="00F95459"/>
    <w:rsid w:val="00F95580"/>
    <w:rsid w:val="00F9638E"/>
    <w:rsid w:val="00F96654"/>
    <w:rsid w:val="00F970A1"/>
    <w:rsid w:val="00FA2E2C"/>
    <w:rsid w:val="00FA37CD"/>
    <w:rsid w:val="00FA58F8"/>
    <w:rsid w:val="00FA6C48"/>
    <w:rsid w:val="00FB0472"/>
    <w:rsid w:val="00FB41C2"/>
    <w:rsid w:val="00FB71E7"/>
    <w:rsid w:val="00FB75C7"/>
    <w:rsid w:val="00FB765C"/>
    <w:rsid w:val="00FC09BA"/>
    <w:rsid w:val="00FC137F"/>
    <w:rsid w:val="00FC1D3C"/>
    <w:rsid w:val="00FC608D"/>
    <w:rsid w:val="00FC6277"/>
    <w:rsid w:val="00FC6A9C"/>
    <w:rsid w:val="00FC79E7"/>
    <w:rsid w:val="00FD1B51"/>
    <w:rsid w:val="00FD222B"/>
    <w:rsid w:val="00FE0C31"/>
    <w:rsid w:val="00FE206B"/>
    <w:rsid w:val="00FF6D3D"/>
    <w:rsid w:val="00FF70AF"/>
    <w:rsid w:val="00FF7495"/>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9B0D2D"/>
  <w15:docId w15:val="{FC6BA3AE-2313-42DB-8B0D-522BFFC02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19C6"/>
    <w:rPr>
      <w:lang w:val="bg-BG"/>
    </w:rPr>
  </w:style>
  <w:style w:type="paragraph" w:styleId="Heading1">
    <w:name w:val="heading 1"/>
    <w:basedOn w:val="Normal"/>
    <w:next w:val="Normal"/>
    <w:link w:val="Heading1Char"/>
    <w:uiPriority w:val="9"/>
    <w:qFormat/>
    <w:rsid w:val="00A548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C4EF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76EF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9397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2D6F3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48F3"/>
    <w:rPr>
      <w:rFonts w:asciiTheme="majorHAnsi" w:eastAsiaTheme="majorEastAsia" w:hAnsiTheme="majorHAnsi" w:cstheme="majorBidi"/>
      <w:color w:val="2E74B5" w:themeColor="accent1" w:themeShade="BF"/>
      <w:sz w:val="32"/>
      <w:szCs w:val="32"/>
      <w:lang w:val="bg-BG"/>
    </w:rPr>
  </w:style>
  <w:style w:type="paragraph" w:styleId="TOCHeading">
    <w:name w:val="TOC Heading"/>
    <w:basedOn w:val="Heading1"/>
    <w:next w:val="Normal"/>
    <w:uiPriority w:val="39"/>
    <w:unhideWhenUsed/>
    <w:qFormat/>
    <w:rsid w:val="00A548F3"/>
    <w:pPr>
      <w:outlineLvl w:val="9"/>
    </w:pPr>
    <w:rPr>
      <w:lang w:val="en-US"/>
    </w:rPr>
  </w:style>
  <w:style w:type="paragraph" w:styleId="ListParagraph">
    <w:name w:val="List Paragraph"/>
    <w:aliases w:val="Question"/>
    <w:basedOn w:val="Normal"/>
    <w:link w:val="ListParagraphChar"/>
    <w:uiPriority w:val="34"/>
    <w:qFormat/>
    <w:rsid w:val="00A548F3"/>
    <w:pPr>
      <w:ind w:left="720"/>
      <w:contextualSpacing/>
    </w:pPr>
  </w:style>
  <w:style w:type="paragraph" w:styleId="TOC1">
    <w:name w:val="toc 1"/>
    <w:basedOn w:val="Normal"/>
    <w:next w:val="Normal"/>
    <w:autoRedefine/>
    <w:uiPriority w:val="39"/>
    <w:unhideWhenUsed/>
    <w:rsid w:val="00FD1B51"/>
    <w:pPr>
      <w:spacing w:after="100"/>
    </w:pPr>
  </w:style>
  <w:style w:type="character" w:styleId="Hyperlink">
    <w:name w:val="Hyperlink"/>
    <w:basedOn w:val="DefaultParagraphFont"/>
    <w:uiPriority w:val="99"/>
    <w:unhideWhenUsed/>
    <w:rsid w:val="00FD1B51"/>
    <w:rPr>
      <w:color w:val="0563C1" w:themeColor="hyperlink"/>
      <w:u w:val="single"/>
    </w:rPr>
  </w:style>
  <w:style w:type="table" w:styleId="TableGrid">
    <w:name w:val="Table Grid"/>
    <w:basedOn w:val="TableNormal"/>
    <w:uiPriority w:val="39"/>
    <w:rsid w:val="008C0F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C4EFF"/>
    <w:rPr>
      <w:rFonts w:asciiTheme="majorHAnsi" w:eastAsiaTheme="majorEastAsia" w:hAnsiTheme="majorHAnsi" w:cstheme="majorBidi"/>
      <w:color w:val="2E74B5" w:themeColor="accent1" w:themeShade="BF"/>
      <w:sz w:val="26"/>
      <w:szCs w:val="26"/>
      <w:lang w:val="bg-BG"/>
    </w:rPr>
  </w:style>
  <w:style w:type="paragraph" w:styleId="TOC2">
    <w:name w:val="toc 2"/>
    <w:basedOn w:val="Normal"/>
    <w:next w:val="Normal"/>
    <w:autoRedefine/>
    <w:uiPriority w:val="39"/>
    <w:unhideWhenUsed/>
    <w:rsid w:val="002A1E06"/>
    <w:pPr>
      <w:spacing w:after="100"/>
      <w:ind w:left="220"/>
    </w:pPr>
  </w:style>
  <w:style w:type="character" w:customStyle="1" w:styleId="Heading3Char">
    <w:name w:val="Heading 3 Char"/>
    <w:basedOn w:val="DefaultParagraphFont"/>
    <w:link w:val="Heading3"/>
    <w:uiPriority w:val="9"/>
    <w:rsid w:val="00176EF9"/>
    <w:rPr>
      <w:rFonts w:asciiTheme="majorHAnsi" w:eastAsiaTheme="majorEastAsia" w:hAnsiTheme="majorHAnsi" w:cstheme="majorBidi"/>
      <w:color w:val="1F4D78" w:themeColor="accent1" w:themeShade="7F"/>
      <w:sz w:val="24"/>
      <w:szCs w:val="24"/>
      <w:lang w:val="bg-BG"/>
    </w:rPr>
  </w:style>
  <w:style w:type="paragraph" w:styleId="TOC3">
    <w:name w:val="toc 3"/>
    <w:basedOn w:val="Normal"/>
    <w:next w:val="Normal"/>
    <w:autoRedefine/>
    <w:uiPriority w:val="39"/>
    <w:unhideWhenUsed/>
    <w:rsid w:val="00C26ADA"/>
    <w:pPr>
      <w:spacing w:after="100"/>
      <w:ind w:left="440"/>
    </w:pPr>
  </w:style>
  <w:style w:type="character" w:customStyle="1" w:styleId="Heading4Char">
    <w:name w:val="Heading 4 Char"/>
    <w:basedOn w:val="DefaultParagraphFont"/>
    <w:link w:val="Heading4"/>
    <w:uiPriority w:val="9"/>
    <w:rsid w:val="0059397F"/>
    <w:rPr>
      <w:rFonts w:asciiTheme="majorHAnsi" w:eastAsiaTheme="majorEastAsia" w:hAnsiTheme="majorHAnsi" w:cstheme="majorBidi"/>
      <w:i/>
      <w:iCs/>
      <w:color w:val="2E74B5" w:themeColor="accent1" w:themeShade="BF"/>
      <w:lang w:val="bg-BG"/>
    </w:rPr>
  </w:style>
  <w:style w:type="character" w:styleId="CommentReference">
    <w:name w:val="annotation reference"/>
    <w:basedOn w:val="DefaultParagraphFont"/>
    <w:uiPriority w:val="99"/>
    <w:semiHidden/>
    <w:unhideWhenUsed/>
    <w:rsid w:val="00F57D1E"/>
    <w:rPr>
      <w:sz w:val="16"/>
      <w:szCs w:val="16"/>
    </w:rPr>
  </w:style>
  <w:style w:type="paragraph" w:styleId="CommentText">
    <w:name w:val="annotation text"/>
    <w:basedOn w:val="Normal"/>
    <w:link w:val="CommentTextChar"/>
    <w:uiPriority w:val="99"/>
    <w:semiHidden/>
    <w:unhideWhenUsed/>
    <w:rsid w:val="00F57D1E"/>
    <w:pPr>
      <w:spacing w:line="240" w:lineRule="auto"/>
    </w:pPr>
    <w:rPr>
      <w:sz w:val="20"/>
      <w:szCs w:val="20"/>
    </w:rPr>
  </w:style>
  <w:style w:type="character" w:customStyle="1" w:styleId="CommentTextChar">
    <w:name w:val="Comment Text Char"/>
    <w:basedOn w:val="DefaultParagraphFont"/>
    <w:link w:val="CommentText"/>
    <w:uiPriority w:val="99"/>
    <w:semiHidden/>
    <w:rsid w:val="00F57D1E"/>
    <w:rPr>
      <w:sz w:val="20"/>
      <w:szCs w:val="20"/>
      <w:lang w:val="bg-BG"/>
    </w:rPr>
  </w:style>
  <w:style w:type="paragraph" w:styleId="CommentSubject">
    <w:name w:val="annotation subject"/>
    <w:basedOn w:val="CommentText"/>
    <w:next w:val="CommentText"/>
    <w:link w:val="CommentSubjectChar"/>
    <w:uiPriority w:val="99"/>
    <w:semiHidden/>
    <w:unhideWhenUsed/>
    <w:rsid w:val="00F57D1E"/>
    <w:rPr>
      <w:b/>
      <w:bCs/>
    </w:rPr>
  </w:style>
  <w:style w:type="character" w:customStyle="1" w:styleId="CommentSubjectChar">
    <w:name w:val="Comment Subject Char"/>
    <w:basedOn w:val="CommentTextChar"/>
    <w:link w:val="CommentSubject"/>
    <w:uiPriority w:val="99"/>
    <w:semiHidden/>
    <w:rsid w:val="00F57D1E"/>
    <w:rPr>
      <w:b/>
      <w:bCs/>
      <w:sz w:val="20"/>
      <w:szCs w:val="20"/>
      <w:lang w:val="bg-BG"/>
    </w:rPr>
  </w:style>
  <w:style w:type="paragraph" w:styleId="BalloonText">
    <w:name w:val="Balloon Text"/>
    <w:basedOn w:val="Normal"/>
    <w:link w:val="BalloonTextChar"/>
    <w:uiPriority w:val="99"/>
    <w:semiHidden/>
    <w:unhideWhenUsed/>
    <w:rsid w:val="00F57D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7D1E"/>
    <w:rPr>
      <w:rFonts w:ascii="Segoe UI" w:hAnsi="Segoe UI" w:cs="Segoe UI"/>
      <w:sz w:val="18"/>
      <w:szCs w:val="18"/>
      <w:lang w:val="bg-BG"/>
    </w:rPr>
  </w:style>
  <w:style w:type="paragraph" w:styleId="Header">
    <w:name w:val="header"/>
    <w:basedOn w:val="Normal"/>
    <w:link w:val="HeaderChar"/>
    <w:uiPriority w:val="99"/>
    <w:unhideWhenUsed/>
    <w:rsid w:val="00A102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0221"/>
    <w:rPr>
      <w:lang w:val="bg-BG"/>
    </w:rPr>
  </w:style>
  <w:style w:type="paragraph" w:styleId="Footer">
    <w:name w:val="footer"/>
    <w:basedOn w:val="Normal"/>
    <w:link w:val="FooterChar"/>
    <w:uiPriority w:val="99"/>
    <w:unhideWhenUsed/>
    <w:rsid w:val="00A102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0221"/>
    <w:rPr>
      <w:lang w:val="bg-BG"/>
    </w:rPr>
  </w:style>
  <w:style w:type="character" w:customStyle="1" w:styleId="Heading5Char">
    <w:name w:val="Heading 5 Char"/>
    <w:basedOn w:val="DefaultParagraphFont"/>
    <w:link w:val="Heading5"/>
    <w:uiPriority w:val="9"/>
    <w:rsid w:val="002D6F35"/>
    <w:rPr>
      <w:rFonts w:asciiTheme="majorHAnsi" w:eastAsiaTheme="majorEastAsia" w:hAnsiTheme="majorHAnsi" w:cstheme="majorBidi"/>
      <w:color w:val="2E74B5" w:themeColor="accent1" w:themeShade="BF"/>
      <w:lang w:val="bg-BG"/>
    </w:rPr>
  </w:style>
  <w:style w:type="character" w:customStyle="1" w:styleId="UnresolvedMention1">
    <w:name w:val="Unresolved Mention1"/>
    <w:basedOn w:val="DefaultParagraphFont"/>
    <w:uiPriority w:val="99"/>
    <w:semiHidden/>
    <w:unhideWhenUsed/>
    <w:rsid w:val="00CE42AD"/>
    <w:rPr>
      <w:color w:val="605E5C"/>
      <w:shd w:val="clear" w:color="auto" w:fill="E1DFDD"/>
    </w:rPr>
  </w:style>
  <w:style w:type="character" w:styleId="FollowedHyperlink">
    <w:name w:val="FollowedHyperlink"/>
    <w:basedOn w:val="DefaultParagraphFont"/>
    <w:uiPriority w:val="99"/>
    <w:semiHidden/>
    <w:unhideWhenUsed/>
    <w:rsid w:val="00C829DA"/>
    <w:rPr>
      <w:color w:val="954F72" w:themeColor="followedHyperlink"/>
      <w:u w:val="single"/>
    </w:rPr>
  </w:style>
  <w:style w:type="paragraph" w:customStyle="1" w:styleId="Style35">
    <w:name w:val="Style35"/>
    <w:basedOn w:val="Normal"/>
    <w:uiPriority w:val="99"/>
    <w:rsid w:val="006971A7"/>
    <w:pPr>
      <w:widowControl w:val="0"/>
      <w:autoSpaceDE w:val="0"/>
      <w:autoSpaceDN w:val="0"/>
      <w:adjustRightInd w:val="0"/>
      <w:spacing w:after="0" w:line="275" w:lineRule="exact"/>
      <w:ind w:firstLine="566"/>
      <w:jc w:val="both"/>
    </w:pPr>
    <w:rPr>
      <w:rFonts w:ascii="Times New Roman" w:eastAsia="Times New Roman" w:hAnsi="Times New Roman" w:cs="Times New Roman"/>
      <w:sz w:val="24"/>
      <w:szCs w:val="24"/>
      <w:lang w:eastAsia="bg-BG"/>
    </w:rPr>
  </w:style>
  <w:style w:type="character" w:customStyle="1" w:styleId="FontStyle189">
    <w:name w:val="Font Style189"/>
    <w:basedOn w:val="DefaultParagraphFont"/>
    <w:uiPriority w:val="99"/>
    <w:rsid w:val="006971A7"/>
    <w:rPr>
      <w:rFonts w:ascii="Times New Roman" w:hAnsi="Times New Roman" w:cs="Times New Roman"/>
      <w:i/>
      <w:iCs/>
      <w:sz w:val="24"/>
      <w:szCs w:val="24"/>
    </w:rPr>
  </w:style>
  <w:style w:type="character" w:customStyle="1" w:styleId="FontStyle199">
    <w:name w:val="Font Style199"/>
    <w:basedOn w:val="DefaultParagraphFont"/>
    <w:uiPriority w:val="99"/>
    <w:rsid w:val="006971A7"/>
    <w:rPr>
      <w:rFonts w:ascii="Times New Roman" w:hAnsi="Times New Roman" w:cs="Times New Roman"/>
      <w:sz w:val="24"/>
      <w:szCs w:val="24"/>
    </w:rPr>
  </w:style>
  <w:style w:type="paragraph" w:customStyle="1" w:styleId="Style3">
    <w:name w:val="Style3"/>
    <w:basedOn w:val="Normal"/>
    <w:uiPriority w:val="99"/>
    <w:rsid w:val="006971A7"/>
    <w:pPr>
      <w:widowControl w:val="0"/>
      <w:autoSpaceDE w:val="0"/>
      <w:autoSpaceDN w:val="0"/>
      <w:adjustRightInd w:val="0"/>
      <w:spacing w:after="0" w:line="389" w:lineRule="exact"/>
      <w:jc w:val="center"/>
    </w:pPr>
    <w:rPr>
      <w:rFonts w:ascii="Times New Roman" w:eastAsia="Times New Roman" w:hAnsi="Times New Roman" w:cs="Times New Roman"/>
      <w:sz w:val="24"/>
      <w:szCs w:val="24"/>
      <w:lang w:eastAsia="bg-BG"/>
    </w:rPr>
  </w:style>
  <w:style w:type="paragraph" w:customStyle="1" w:styleId="Style45">
    <w:name w:val="Style45"/>
    <w:basedOn w:val="Normal"/>
    <w:uiPriority w:val="99"/>
    <w:rsid w:val="006971A7"/>
    <w:pPr>
      <w:widowControl w:val="0"/>
      <w:autoSpaceDE w:val="0"/>
      <w:autoSpaceDN w:val="0"/>
      <w:adjustRightInd w:val="0"/>
      <w:spacing w:after="0" w:line="240" w:lineRule="auto"/>
    </w:pPr>
    <w:rPr>
      <w:rFonts w:ascii="Times New Roman" w:eastAsia="Times New Roman" w:hAnsi="Times New Roman" w:cs="Times New Roman"/>
      <w:sz w:val="24"/>
      <w:szCs w:val="24"/>
      <w:lang w:eastAsia="bg-BG"/>
    </w:rPr>
  </w:style>
  <w:style w:type="paragraph" w:styleId="NormalWeb">
    <w:name w:val="Normal (Web)"/>
    <w:basedOn w:val="Normal"/>
    <w:uiPriority w:val="99"/>
    <w:unhideWhenUsed/>
    <w:rsid w:val="00E25D23"/>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styleId="Strong">
    <w:name w:val="Strong"/>
    <w:basedOn w:val="DefaultParagraphFont"/>
    <w:uiPriority w:val="22"/>
    <w:qFormat/>
    <w:rsid w:val="00E25D23"/>
    <w:rPr>
      <w:b/>
      <w:bCs/>
    </w:rPr>
  </w:style>
  <w:style w:type="character" w:customStyle="1" w:styleId="UnresolvedMention2">
    <w:name w:val="Unresolved Mention2"/>
    <w:basedOn w:val="DefaultParagraphFont"/>
    <w:uiPriority w:val="99"/>
    <w:semiHidden/>
    <w:unhideWhenUsed/>
    <w:rsid w:val="00E20833"/>
    <w:rPr>
      <w:color w:val="605E5C"/>
      <w:shd w:val="clear" w:color="auto" w:fill="E1DFDD"/>
    </w:rPr>
  </w:style>
  <w:style w:type="paragraph" w:styleId="NoSpacing">
    <w:name w:val="No Spacing"/>
    <w:link w:val="NoSpacingChar"/>
    <w:uiPriority w:val="1"/>
    <w:qFormat/>
    <w:rsid w:val="00A84656"/>
    <w:pPr>
      <w:spacing w:after="0" w:line="240" w:lineRule="auto"/>
    </w:pPr>
    <w:rPr>
      <w:rFonts w:eastAsiaTheme="minorEastAsia"/>
    </w:rPr>
  </w:style>
  <w:style w:type="character" w:customStyle="1" w:styleId="NoSpacingChar">
    <w:name w:val="No Spacing Char"/>
    <w:basedOn w:val="DefaultParagraphFont"/>
    <w:link w:val="NoSpacing"/>
    <w:uiPriority w:val="1"/>
    <w:rsid w:val="00A84656"/>
    <w:rPr>
      <w:rFonts w:eastAsiaTheme="minorEastAsia"/>
    </w:rPr>
  </w:style>
  <w:style w:type="paragraph" w:customStyle="1" w:styleId="Car">
    <w:name w:val="Car"/>
    <w:basedOn w:val="Normal"/>
    <w:rsid w:val="00175417"/>
    <w:pPr>
      <w:spacing w:line="240" w:lineRule="exact"/>
    </w:pPr>
    <w:rPr>
      <w:rFonts w:ascii="Tahoma" w:eastAsia="Times New Roman" w:hAnsi="Tahoma" w:cs="Times New Roman"/>
      <w:sz w:val="20"/>
      <w:szCs w:val="20"/>
      <w:lang w:val="en-US"/>
    </w:rPr>
  </w:style>
  <w:style w:type="character" w:customStyle="1" w:styleId="BodyTextChar">
    <w:name w:val="Body Text Char"/>
    <w:basedOn w:val="DefaultParagraphFont"/>
    <w:link w:val="BodyText"/>
    <w:rsid w:val="00A77F3C"/>
    <w:rPr>
      <w:rFonts w:ascii="Times New Roman" w:eastAsia="Times New Roman" w:hAnsi="Times New Roman" w:cs="Times New Roman"/>
      <w:shd w:val="clear" w:color="auto" w:fill="FFFFFF"/>
    </w:rPr>
  </w:style>
  <w:style w:type="paragraph" w:styleId="BodyText">
    <w:name w:val="Body Text"/>
    <w:basedOn w:val="Normal"/>
    <w:link w:val="BodyTextChar"/>
    <w:qFormat/>
    <w:rsid w:val="00A77F3C"/>
    <w:pPr>
      <w:widowControl w:val="0"/>
      <w:shd w:val="clear" w:color="auto" w:fill="FFFFFF"/>
      <w:spacing w:after="0" w:line="360" w:lineRule="auto"/>
      <w:ind w:firstLine="400"/>
    </w:pPr>
    <w:rPr>
      <w:rFonts w:ascii="Times New Roman" w:eastAsia="Times New Roman" w:hAnsi="Times New Roman" w:cs="Times New Roman"/>
      <w:lang w:val="en-US"/>
    </w:rPr>
  </w:style>
  <w:style w:type="character" w:customStyle="1" w:styleId="BodyTextChar1">
    <w:name w:val="Body Text Char1"/>
    <w:basedOn w:val="DefaultParagraphFont"/>
    <w:uiPriority w:val="99"/>
    <w:semiHidden/>
    <w:rsid w:val="00A77F3C"/>
    <w:rPr>
      <w:lang w:val="bg-BG"/>
    </w:rPr>
  </w:style>
  <w:style w:type="paragraph" w:styleId="Caption">
    <w:name w:val="caption"/>
    <w:basedOn w:val="Normal"/>
    <w:next w:val="Normal"/>
    <w:uiPriority w:val="35"/>
    <w:semiHidden/>
    <w:unhideWhenUsed/>
    <w:qFormat/>
    <w:rsid w:val="00F35149"/>
    <w:pPr>
      <w:spacing w:after="200" w:line="240" w:lineRule="auto"/>
    </w:pPr>
    <w:rPr>
      <w:i/>
      <w:iCs/>
      <w:color w:val="44546A" w:themeColor="text2"/>
      <w:sz w:val="18"/>
      <w:szCs w:val="18"/>
    </w:rPr>
  </w:style>
  <w:style w:type="paragraph" w:customStyle="1" w:styleId="Default">
    <w:name w:val="Default"/>
    <w:rsid w:val="00F35149"/>
    <w:pPr>
      <w:autoSpaceDE w:val="0"/>
      <w:autoSpaceDN w:val="0"/>
      <w:adjustRightInd w:val="0"/>
      <w:spacing w:after="0" w:line="240" w:lineRule="auto"/>
    </w:pPr>
    <w:rPr>
      <w:rFonts w:ascii="Times New Roman" w:hAnsi="Times New Roman" w:cs="Times New Roman"/>
      <w:color w:val="000000"/>
      <w:sz w:val="24"/>
      <w:szCs w:val="24"/>
    </w:rPr>
  </w:style>
  <w:style w:type="paragraph" w:styleId="BodyTextIndent">
    <w:name w:val="Body Text Indent"/>
    <w:basedOn w:val="Normal"/>
    <w:link w:val="BodyTextIndentChar"/>
    <w:uiPriority w:val="99"/>
    <w:semiHidden/>
    <w:unhideWhenUsed/>
    <w:rsid w:val="00062267"/>
    <w:pPr>
      <w:spacing w:after="120"/>
      <w:ind w:left="283"/>
    </w:pPr>
  </w:style>
  <w:style w:type="character" w:customStyle="1" w:styleId="BodyTextIndentChar">
    <w:name w:val="Body Text Indent Char"/>
    <w:basedOn w:val="DefaultParagraphFont"/>
    <w:link w:val="BodyTextIndent"/>
    <w:uiPriority w:val="99"/>
    <w:semiHidden/>
    <w:rsid w:val="00062267"/>
    <w:rPr>
      <w:lang w:val="bg-BG"/>
    </w:rPr>
  </w:style>
  <w:style w:type="paragraph" w:customStyle="1" w:styleId="visualclear">
    <w:name w:val="visualclear"/>
    <w:basedOn w:val="Normal"/>
    <w:uiPriority w:val="99"/>
    <w:semiHidden/>
    <w:rsid w:val="00062267"/>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ListParagraphChar">
    <w:name w:val="List Paragraph Char"/>
    <w:aliases w:val="Question Char"/>
    <w:link w:val="ListParagraph"/>
    <w:uiPriority w:val="34"/>
    <w:qFormat/>
    <w:locked/>
    <w:rsid w:val="007E4AF6"/>
    <w:rPr>
      <w:lang w:val="bg-BG"/>
    </w:rPr>
  </w:style>
  <w:style w:type="paragraph" w:styleId="Revision">
    <w:name w:val="Revision"/>
    <w:hidden/>
    <w:uiPriority w:val="99"/>
    <w:semiHidden/>
    <w:rsid w:val="00D40142"/>
    <w:pPr>
      <w:spacing w:after="0" w:line="240" w:lineRule="auto"/>
    </w:pPr>
    <w:rPr>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31908">
      <w:bodyDiv w:val="1"/>
      <w:marLeft w:val="0"/>
      <w:marRight w:val="0"/>
      <w:marTop w:val="0"/>
      <w:marBottom w:val="0"/>
      <w:divBdr>
        <w:top w:val="none" w:sz="0" w:space="0" w:color="auto"/>
        <w:left w:val="none" w:sz="0" w:space="0" w:color="auto"/>
        <w:bottom w:val="none" w:sz="0" w:space="0" w:color="auto"/>
        <w:right w:val="none" w:sz="0" w:space="0" w:color="auto"/>
      </w:divBdr>
    </w:div>
    <w:div w:id="117651562">
      <w:bodyDiv w:val="1"/>
      <w:marLeft w:val="0"/>
      <w:marRight w:val="0"/>
      <w:marTop w:val="0"/>
      <w:marBottom w:val="0"/>
      <w:divBdr>
        <w:top w:val="none" w:sz="0" w:space="0" w:color="auto"/>
        <w:left w:val="none" w:sz="0" w:space="0" w:color="auto"/>
        <w:bottom w:val="none" w:sz="0" w:space="0" w:color="auto"/>
        <w:right w:val="none" w:sz="0" w:space="0" w:color="auto"/>
      </w:divBdr>
    </w:div>
    <w:div w:id="160851140">
      <w:bodyDiv w:val="1"/>
      <w:marLeft w:val="0"/>
      <w:marRight w:val="0"/>
      <w:marTop w:val="0"/>
      <w:marBottom w:val="0"/>
      <w:divBdr>
        <w:top w:val="none" w:sz="0" w:space="0" w:color="auto"/>
        <w:left w:val="none" w:sz="0" w:space="0" w:color="auto"/>
        <w:bottom w:val="none" w:sz="0" w:space="0" w:color="auto"/>
        <w:right w:val="none" w:sz="0" w:space="0" w:color="auto"/>
      </w:divBdr>
    </w:div>
    <w:div w:id="192110202">
      <w:bodyDiv w:val="1"/>
      <w:marLeft w:val="0"/>
      <w:marRight w:val="0"/>
      <w:marTop w:val="0"/>
      <w:marBottom w:val="0"/>
      <w:divBdr>
        <w:top w:val="none" w:sz="0" w:space="0" w:color="auto"/>
        <w:left w:val="none" w:sz="0" w:space="0" w:color="auto"/>
        <w:bottom w:val="none" w:sz="0" w:space="0" w:color="auto"/>
        <w:right w:val="none" w:sz="0" w:space="0" w:color="auto"/>
      </w:divBdr>
    </w:div>
    <w:div w:id="201750048">
      <w:bodyDiv w:val="1"/>
      <w:marLeft w:val="0"/>
      <w:marRight w:val="0"/>
      <w:marTop w:val="0"/>
      <w:marBottom w:val="0"/>
      <w:divBdr>
        <w:top w:val="none" w:sz="0" w:space="0" w:color="auto"/>
        <w:left w:val="none" w:sz="0" w:space="0" w:color="auto"/>
        <w:bottom w:val="none" w:sz="0" w:space="0" w:color="auto"/>
        <w:right w:val="none" w:sz="0" w:space="0" w:color="auto"/>
      </w:divBdr>
    </w:div>
    <w:div w:id="336349478">
      <w:bodyDiv w:val="1"/>
      <w:marLeft w:val="0"/>
      <w:marRight w:val="0"/>
      <w:marTop w:val="0"/>
      <w:marBottom w:val="0"/>
      <w:divBdr>
        <w:top w:val="none" w:sz="0" w:space="0" w:color="auto"/>
        <w:left w:val="none" w:sz="0" w:space="0" w:color="auto"/>
        <w:bottom w:val="none" w:sz="0" w:space="0" w:color="auto"/>
        <w:right w:val="none" w:sz="0" w:space="0" w:color="auto"/>
      </w:divBdr>
    </w:div>
    <w:div w:id="381250720">
      <w:bodyDiv w:val="1"/>
      <w:marLeft w:val="0"/>
      <w:marRight w:val="0"/>
      <w:marTop w:val="0"/>
      <w:marBottom w:val="0"/>
      <w:divBdr>
        <w:top w:val="none" w:sz="0" w:space="0" w:color="auto"/>
        <w:left w:val="none" w:sz="0" w:space="0" w:color="auto"/>
        <w:bottom w:val="none" w:sz="0" w:space="0" w:color="auto"/>
        <w:right w:val="none" w:sz="0" w:space="0" w:color="auto"/>
      </w:divBdr>
    </w:div>
    <w:div w:id="430400254">
      <w:bodyDiv w:val="1"/>
      <w:marLeft w:val="0"/>
      <w:marRight w:val="0"/>
      <w:marTop w:val="0"/>
      <w:marBottom w:val="0"/>
      <w:divBdr>
        <w:top w:val="none" w:sz="0" w:space="0" w:color="auto"/>
        <w:left w:val="none" w:sz="0" w:space="0" w:color="auto"/>
        <w:bottom w:val="none" w:sz="0" w:space="0" w:color="auto"/>
        <w:right w:val="none" w:sz="0" w:space="0" w:color="auto"/>
      </w:divBdr>
    </w:div>
    <w:div w:id="512306807">
      <w:bodyDiv w:val="1"/>
      <w:marLeft w:val="0"/>
      <w:marRight w:val="0"/>
      <w:marTop w:val="0"/>
      <w:marBottom w:val="0"/>
      <w:divBdr>
        <w:top w:val="none" w:sz="0" w:space="0" w:color="auto"/>
        <w:left w:val="none" w:sz="0" w:space="0" w:color="auto"/>
        <w:bottom w:val="none" w:sz="0" w:space="0" w:color="auto"/>
        <w:right w:val="none" w:sz="0" w:space="0" w:color="auto"/>
      </w:divBdr>
    </w:div>
    <w:div w:id="549342810">
      <w:bodyDiv w:val="1"/>
      <w:marLeft w:val="0"/>
      <w:marRight w:val="0"/>
      <w:marTop w:val="0"/>
      <w:marBottom w:val="0"/>
      <w:divBdr>
        <w:top w:val="none" w:sz="0" w:space="0" w:color="auto"/>
        <w:left w:val="none" w:sz="0" w:space="0" w:color="auto"/>
        <w:bottom w:val="none" w:sz="0" w:space="0" w:color="auto"/>
        <w:right w:val="none" w:sz="0" w:space="0" w:color="auto"/>
      </w:divBdr>
    </w:div>
    <w:div w:id="596405308">
      <w:bodyDiv w:val="1"/>
      <w:marLeft w:val="0"/>
      <w:marRight w:val="0"/>
      <w:marTop w:val="0"/>
      <w:marBottom w:val="0"/>
      <w:divBdr>
        <w:top w:val="none" w:sz="0" w:space="0" w:color="auto"/>
        <w:left w:val="none" w:sz="0" w:space="0" w:color="auto"/>
        <w:bottom w:val="none" w:sz="0" w:space="0" w:color="auto"/>
        <w:right w:val="none" w:sz="0" w:space="0" w:color="auto"/>
      </w:divBdr>
    </w:div>
    <w:div w:id="599921321">
      <w:bodyDiv w:val="1"/>
      <w:marLeft w:val="0"/>
      <w:marRight w:val="0"/>
      <w:marTop w:val="0"/>
      <w:marBottom w:val="0"/>
      <w:divBdr>
        <w:top w:val="none" w:sz="0" w:space="0" w:color="auto"/>
        <w:left w:val="none" w:sz="0" w:space="0" w:color="auto"/>
        <w:bottom w:val="none" w:sz="0" w:space="0" w:color="auto"/>
        <w:right w:val="none" w:sz="0" w:space="0" w:color="auto"/>
      </w:divBdr>
    </w:div>
    <w:div w:id="671222019">
      <w:bodyDiv w:val="1"/>
      <w:marLeft w:val="0"/>
      <w:marRight w:val="0"/>
      <w:marTop w:val="0"/>
      <w:marBottom w:val="0"/>
      <w:divBdr>
        <w:top w:val="none" w:sz="0" w:space="0" w:color="auto"/>
        <w:left w:val="none" w:sz="0" w:space="0" w:color="auto"/>
        <w:bottom w:val="none" w:sz="0" w:space="0" w:color="auto"/>
        <w:right w:val="none" w:sz="0" w:space="0" w:color="auto"/>
      </w:divBdr>
    </w:div>
    <w:div w:id="707412045">
      <w:bodyDiv w:val="1"/>
      <w:marLeft w:val="0"/>
      <w:marRight w:val="0"/>
      <w:marTop w:val="0"/>
      <w:marBottom w:val="0"/>
      <w:divBdr>
        <w:top w:val="none" w:sz="0" w:space="0" w:color="auto"/>
        <w:left w:val="none" w:sz="0" w:space="0" w:color="auto"/>
        <w:bottom w:val="none" w:sz="0" w:space="0" w:color="auto"/>
        <w:right w:val="none" w:sz="0" w:space="0" w:color="auto"/>
      </w:divBdr>
    </w:div>
    <w:div w:id="740062784">
      <w:bodyDiv w:val="1"/>
      <w:marLeft w:val="0"/>
      <w:marRight w:val="0"/>
      <w:marTop w:val="0"/>
      <w:marBottom w:val="0"/>
      <w:divBdr>
        <w:top w:val="none" w:sz="0" w:space="0" w:color="auto"/>
        <w:left w:val="none" w:sz="0" w:space="0" w:color="auto"/>
        <w:bottom w:val="none" w:sz="0" w:space="0" w:color="auto"/>
        <w:right w:val="none" w:sz="0" w:space="0" w:color="auto"/>
      </w:divBdr>
    </w:div>
    <w:div w:id="746611012">
      <w:bodyDiv w:val="1"/>
      <w:marLeft w:val="0"/>
      <w:marRight w:val="0"/>
      <w:marTop w:val="0"/>
      <w:marBottom w:val="0"/>
      <w:divBdr>
        <w:top w:val="none" w:sz="0" w:space="0" w:color="auto"/>
        <w:left w:val="none" w:sz="0" w:space="0" w:color="auto"/>
        <w:bottom w:val="none" w:sz="0" w:space="0" w:color="auto"/>
        <w:right w:val="none" w:sz="0" w:space="0" w:color="auto"/>
      </w:divBdr>
    </w:div>
    <w:div w:id="792596660">
      <w:bodyDiv w:val="1"/>
      <w:marLeft w:val="0"/>
      <w:marRight w:val="0"/>
      <w:marTop w:val="0"/>
      <w:marBottom w:val="0"/>
      <w:divBdr>
        <w:top w:val="none" w:sz="0" w:space="0" w:color="auto"/>
        <w:left w:val="none" w:sz="0" w:space="0" w:color="auto"/>
        <w:bottom w:val="none" w:sz="0" w:space="0" w:color="auto"/>
        <w:right w:val="none" w:sz="0" w:space="0" w:color="auto"/>
      </w:divBdr>
    </w:div>
    <w:div w:id="829323881">
      <w:bodyDiv w:val="1"/>
      <w:marLeft w:val="0"/>
      <w:marRight w:val="0"/>
      <w:marTop w:val="0"/>
      <w:marBottom w:val="0"/>
      <w:divBdr>
        <w:top w:val="none" w:sz="0" w:space="0" w:color="auto"/>
        <w:left w:val="none" w:sz="0" w:space="0" w:color="auto"/>
        <w:bottom w:val="none" w:sz="0" w:space="0" w:color="auto"/>
        <w:right w:val="none" w:sz="0" w:space="0" w:color="auto"/>
      </w:divBdr>
    </w:div>
    <w:div w:id="863597923">
      <w:bodyDiv w:val="1"/>
      <w:marLeft w:val="0"/>
      <w:marRight w:val="0"/>
      <w:marTop w:val="0"/>
      <w:marBottom w:val="0"/>
      <w:divBdr>
        <w:top w:val="none" w:sz="0" w:space="0" w:color="auto"/>
        <w:left w:val="none" w:sz="0" w:space="0" w:color="auto"/>
        <w:bottom w:val="none" w:sz="0" w:space="0" w:color="auto"/>
        <w:right w:val="none" w:sz="0" w:space="0" w:color="auto"/>
      </w:divBdr>
    </w:div>
    <w:div w:id="909386946">
      <w:bodyDiv w:val="1"/>
      <w:marLeft w:val="0"/>
      <w:marRight w:val="0"/>
      <w:marTop w:val="0"/>
      <w:marBottom w:val="0"/>
      <w:divBdr>
        <w:top w:val="none" w:sz="0" w:space="0" w:color="auto"/>
        <w:left w:val="none" w:sz="0" w:space="0" w:color="auto"/>
        <w:bottom w:val="none" w:sz="0" w:space="0" w:color="auto"/>
        <w:right w:val="none" w:sz="0" w:space="0" w:color="auto"/>
      </w:divBdr>
    </w:div>
    <w:div w:id="937064363">
      <w:bodyDiv w:val="1"/>
      <w:marLeft w:val="0"/>
      <w:marRight w:val="0"/>
      <w:marTop w:val="0"/>
      <w:marBottom w:val="0"/>
      <w:divBdr>
        <w:top w:val="none" w:sz="0" w:space="0" w:color="auto"/>
        <w:left w:val="none" w:sz="0" w:space="0" w:color="auto"/>
        <w:bottom w:val="none" w:sz="0" w:space="0" w:color="auto"/>
        <w:right w:val="none" w:sz="0" w:space="0" w:color="auto"/>
      </w:divBdr>
      <w:divsChild>
        <w:div w:id="1177229381">
          <w:marLeft w:val="0"/>
          <w:marRight w:val="0"/>
          <w:marTop w:val="0"/>
          <w:marBottom w:val="0"/>
          <w:divBdr>
            <w:top w:val="none" w:sz="0" w:space="0" w:color="auto"/>
            <w:left w:val="none" w:sz="0" w:space="0" w:color="auto"/>
            <w:bottom w:val="none" w:sz="0" w:space="0" w:color="auto"/>
            <w:right w:val="none" w:sz="0" w:space="0" w:color="auto"/>
          </w:divBdr>
        </w:div>
        <w:div w:id="206188055">
          <w:marLeft w:val="0"/>
          <w:marRight w:val="0"/>
          <w:marTop w:val="0"/>
          <w:marBottom w:val="0"/>
          <w:divBdr>
            <w:top w:val="none" w:sz="0" w:space="0" w:color="auto"/>
            <w:left w:val="none" w:sz="0" w:space="0" w:color="auto"/>
            <w:bottom w:val="none" w:sz="0" w:space="0" w:color="auto"/>
            <w:right w:val="none" w:sz="0" w:space="0" w:color="auto"/>
          </w:divBdr>
        </w:div>
        <w:div w:id="1286159470">
          <w:marLeft w:val="0"/>
          <w:marRight w:val="0"/>
          <w:marTop w:val="0"/>
          <w:marBottom w:val="0"/>
          <w:divBdr>
            <w:top w:val="none" w:sz="0" w:space="0" w:color="auto"/>
            <w:left w:val="none" w:sz="0" w:space="0" w:color="auto"/>
            <w:bottom w:val="none" w:sz="0" w:space="0" w:color="auto"/>
            <w:right w:val="none" w:sz="0" w:space="0" w:color="auto"/>
          </w:divBdr>
        </w:div>
        <w:div w:id="1407679250">
          <w:marLeft w:val="0"/>
          <w:marRight w:val="0"/>
          <w:marTop w:val="0"/>
          <w:marBottom w:val="0"/>
          <w:divBdr>
            <w:top w:val="none" w:sz="0" w:space="0" w:color="auto"/>
            <w:left w:val="none" w:sz="0" w:space="0" w:color="auto"/>
            <w:bottom w:val="none" w:sz="0" w:space="0" w:color="auto"/>
            <w:right w:val="none" w:sz="0" w:space="0" w:color="auto"/>
          </w:divBdr>
        </w:div>
        <w:div w:id="212011046">
          <w:marLeft w:val="0"/>
          <w:marRight w:val="0"/>
          <w:marTop w:val="0"/>
          <w:marBottom w:val="0"/>
          <w:divBdr>
            <w:top w:val="none" w:sz="0" w:space="0" w:color="auto"/>
            <w:left w:val="none" w:sz="0" w:space="0" w:color="auto"/>
            <w:bottom w:val="none" w:sz="0" w:space="0" w:color="auto"/>
            <w:right w:val="none" w:sz="0" w:space="0" w:color="auto"/>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490679696">
          <w:marLeft w:val="0"/>
          <w:marRight w:val="0"/>
          <w:marTop w:val="0"/>
          <w:marBottom w:val="0"/>
          <w:divBdr>
            <w:top w:val="none" w:sz="0" w:space="0" w:color="auto"/>
            <w:left w:val="none" w:sz="0" w:space="0" w:color="auto"/>
            <w:bottom w:val="none" w:sz="0" w:space="0" w:color="auto"/>
            <w:right w:val="none" w:sz="0" w:space="0" w:color="auto"/>
          </w:divBdr>
        </w:div>
        <w:div w:id="32192559">
          <w:marLeft w:val="0"/>
          <w:marRight w:val="0"/>
          <w:marTop w:val="0"/>
          <w:marBottom w:val="0"/>
          <w:divBdr>
            <w:top w:val="none" w:sz="0" w:space="0" w:color="auto"/>
            <w:left w:val="none" w:sz="0" w:space="0" w:color="auto"/>
            <w:bottom w:val="none" w:sz="0" w:space="0" w:color="auto"/>
            <w:right w:val="none" w:sz="0" w:space="0" w:color="auto"/>
          </w:divBdr>
        </w:div>
        <w:div w:id="1946036341">
          <w:marLeft w:val="0"/>
          <w:marRight w:val="0"/>
          <w:marTop w:val="0"/>
          <w:marBottom w:val="0"/>
          <w:divBdr>
            <w:top w:val="none" w:sz="0" w:space="0" w:color="auto"/>
            <w:left w:val="none" w:sz="0" w:space="0" w:color="auto"/>
            <w:bottom w:val="none" w:sz="0" w:space="0" w:color="auto"/>
            <w:right w:val="none" w:sz="0" w:space="0" w:color="auto"/>
          </w:divBdr>
        </w:div>
        <w:div w:id="649678065">
          <w:marLeft w:val="0"/>
          <w:marRight w:val="0"/>
          <w:marTop w:val="0"/>
          <w:marBottom w:val="0"/>
          <w:divBdr>
            <w:top w:val="none" w:sz="0" w:space="0" w:color="auto"/>
            <w:left w:val="none" w:sz="0" w:space="0" w:color="auto"/>
            <w:bottom w:val="none" w:sz="0" w:space="0" w:color="auto"/>
            <w:right w:val="none" w:sz="0" w:space="0" w:color="auto"/>
          </w:divBdr>
        </w:div>
        <w:div w:id="1257666064">
          <w:marLeft w:val="0"/>
          <w:marRight w:val="0"/>
          <w:marTop w:val="0"/>
          <w:marBottom w:val="0"/>
          <w:divBdr>
            <w:top w:val="none" w:sz="0" w:space="0" w:color="auto"/>
            <w:left w:val="none" w:sz="0" w:space="0" w:color="auto"/>
            <w:bottom w:val="none" w:sz="0" w:space="0" w:color="auto"/>
            <w:right w:val="none" w:sz="0" w:space="0" w:color="auto"/>
          </w:divBdr>
        </w:div>
        <w:div w:id="7489483">
          <w:marLeft w:val="0"/>
          <w:marRight w:val="0"/>
          <w:marTop w:val="0"/>
          <w:marBottom w:val="0"/>
          <w:divBdr>
            <w:top w:val="none" w:sz="0" w:space="0" w:color="auto"/>
            <w:left w:val="none" w:sz="0" w:space="0" w:color="auto"/>
            <w:bottom w:val="none" w:sz="0" w:space="0" w:color="auto"/>
            <w:right w:val="none" w:sz="0" w:space="0" w:color="auto"/>
          </w:divBdr>
        </w:div>
        <w:div w:id="1167525667">
          <w:marLeft w:val="0"/>
          <w:marRight w:val="0"/>
          <w:marTop w:val="0"/>
          <w:marBottom w:val="0"/>
          <w:divBdr>
            <w:top w:val="none" w:sz="0" w:space="0" w:color="auto"/>
            <w:left w:val="none" w:sz="0" w:space="0" w:color="auto"/>
            <w:bottom w:val="none" w:sz="0" w:space="0" w:color="auto"/>
            <w:right w:val="none" w:sz="0" w:space="0" w:color="auto"/>
          </w:divBdr>
        </w:div>
        <w:div w:id="1303267434">
          <w:marLeft w:val="0"/>
          <w:marRight w:val="0"/>
          <w:marTop w:val="0"/>
          <w:marBottom w:val="0"/>
          <w:divBdr>
            <w:top w:val="none" w:sz="0" w:space="0" w:color="auto"/>
            <w:left w:val="none" w:sz="0" w:space="0" w:color="auto"/>
            <w:bottom w:val="none" w:sz="0" w:space="0" w:color="auto"/>
            <w:right w:val="none" w:sz="0" w:space="0" w:color="auto"/>
          </w:divBdr>
        </w:div>
        <w:div w:id="954211151">
          <w:marLeft w:val="0"/>
          <w:marRight w:val="0"/>
          <w:marTop w:val="0"/>
          <w:marBottom w:val="0"/>
          <w:divBdr>
            <w:top w:val="none" w:sz="0" w:space="0" w:color="auto"/>
            <w:left w:val="none" w:sz="0" w:space="0" w:color="auto"/>
            <w:bottom w:val="none" w:sz="0" w:space="0" w:color="auto"/>
            <w:right w:val="none" w:sz="0" w:space="0" w:color="auto"/>
          </w:divBdr>
        </w:div>
        <w:div w:id="1109812563">
          <w:marLeft w:val="0"/>
          <w:marRight w:val="0"/>
          <w:marTop w:val="0"/>
          <w:marBottom w:val="0"/>
          <w:divBdr>
            <w:top w:val="none" w:sz="0" w:space="0" w:color="auto"/>
            <w:left w:val="none" w:sz="0" w:space="0" w:color="auto"/>
            <w:bottom w:val="none" w:sz="0" w:space="0" w:color="auto"/>
            <w:right w:val="none" w:sz="0" w:space="0" w:color="auto"/>
          </w:divBdr>
        </w:div>
        <w:div w:id="1386946700">
          <w:marLeft w:val="0"/>
          <w:marRight w:val="0"/>
          <w:marTop w:val="0"/>
          <w:marBottom w:val="0"/>
          <w:divBdr>
            <w:top w:val="none" w:sz="0" w:space="0" w:color="auto"/>
            <w:left w:val="none" w:sz="0" w:space="0" w:color="auto"/>
            <w:bottom w:val="none" w:sz="0" w:space="0" w:color="auto"/>
            <w:right w:val="none" w:sz="0" w:space="0" w:color="auto"/>
          </w:divBdr>
        </w:div>
        <w:div w:id="1021666379">
          <w:marLeft w:val="0"/>
          <w:marRight w:val="0"/>
          <w:marTop w:val="0"/>
          <w:marBottom w:val="0"/>
          <w:divBdr>
            <w:top w:val="none" w:sz="0" w:space="0" w:color="auto"/>
            <w:left w:val="none" w:sz="0" w:space="0" w:color="auto"/>
            <w:bottom w:val="none" w:sz="0" w:space="0" w:color="auto"/>
            <w:right w:val="none" w:sz="0" w:space="0" w:color="auto"/>
          </w:divBdr>
        </w:div>
      </w:divsChild>
    </w:div>
    <w:div w:id="991518793">
      <w:bodyDiv w:val="1"/>
      <w:marLeft w:val="0"/>
      <w:marRight w:val="0"/>
      <w:marTop w:val="0"/>
      <w:marBottom w:val="0"/>
      <w:divBdr>
        <w:top w:val="none" w:sz="0" w:space="0" w:color="auto"/>
        <w:left w:val="none" w:sz="0" w:space="0" w:color="auto"/>
        <w:bottom w:val="none" w:sz="0" w:space="0" w:color="auto"/>
        <w:right w:val="none" w:sz="0" w:space="0" w:color="auto"/>
      </w:divBdr>
    </w:div>
    <w:div w:id="1279996236">
      <w:bodyDiv w:val="1"/>
      <w:marLeft w:val="0"/>
      <w:marRight w:val="0"/>
      <w:marTop w:val="0"/>
      <w:marBottom w:val="0"/>
      <w:divBdr>
        <w:top w:val="none" w:sz="0" w:space="0" w:color="auto"/>
        <w:left w:val="none" w:sz="0" w:space="0" w:color="auto"/>
        <w:bottom w:val="none" w:sz="0" w:space="0" w:color="auto"/>
        <w:right w:val="none" w:sz="0" w:space="0" w:color="auto"/>
      </w:divBdr>
    </w:div>
    <w:div w:id="1313172422">
      <w:bodyDiv w:val="1"/>
      <w:marLeft w:val="0"/>
      <w:marRight w:val="0"/>
      <w:marTop w:val="0"/>
      <w:marBottom w:val="0"/>
      <w:divBdr>
        <w:top w:val="none" w:sz="0" w:space="0" w:color="auto"/>
        <w:left w:val="none" w:sz="0" w:space="0" w:color="auto"/>
        <w:bottom w:val="none" w:sz="0" w:space="0" w:color="auto"/>
        <w:right w:val="none" w:sz="0" w:space="0" w:color="auto"/>
      </w:divBdr>
    </w:div>
    <w:div w:id="1373456966">
      <w:bodyDiv w:val="1"/>
      <w:marLeft w:val="0"/>
      <w:marRight w:val="0"/>
      <w:marTop w:val="0"/>
      <w:marBottom w:val="0"/>
      <w:divBdr>
        <w:top w:val="none" w:sz="0" w:space="0" w:color="auto"/>
        <w:left w:val="none" w:sz="0" w:space="0" w:color="auto"/>
        <w:bottom w:val="none" w:sz="0" w:space="0" w:color="auto"/>
        <w:right w:val="none" w:sz="0" w:space="0" w:color="auto"/>
      </w:divBdr>
    </w:div>
    <w:div w:id="1487624569">
      <w:bodyDiv w:val="1"/>
      <w:marLeft w:val="0"/>
      <w:marRight w:val="0"/>
      <w:marTop w:val="0"/>
      <w:marBottom w:val="0"/>
      <w:divBdr>
        <w:top w:val="none" w:sz="0" w:space="0" w:color="auto"/>
        <w:left w:val="none" w:sz="0" w:space="0" w:color="auto"/>
        <w:bottom w:val="none" w:sz="0" w:space="0" w:color="auto"/>
        <w:right w:val="none" w:sz="0" w:space="0" w:color="auto"/>
      </w:divBdr>
    </w:div>
    <w:div w:id="1541091302">
      <w:bodyDiv w:val="1"/>
      <w:marLeft w:val="0"/>
      <w:marRight w:val="0"/>
      <w:marTop w:val="0"/>
      <w:marBottom w:val="0"/>
      <w:divBdr>
        <w:top w:val="none" w:sz="0" w:space="0" w:color="auto"/>
        <w:left w:val="none" w:sz="0" w:space="0" w:color="auto"/>
        <w:bottom w:val="none" w:sz="0" w:space="0" w:color="auto"/>
        <w:right w:val="none" w:sz="0" w:space="0" w:color="auto"/>
      </w:divBdr>
    </w:div>
    <w:div w:id="1570770673">
      <w:bodyDiv w:val="1"/>
      <w:marLeft w:val="0"/>
      <w:marRight w:val="0"/>
      <w:marTop w:val="0"/>
      <w:marBottom w:val="0"/>
      <w:divBdr>
        <w:top w:val="none" w:sz="0" w:space="0" w:color="auto"/>
        <w:left w:val="none" w:sz="0" w:space="0" w:color="auto"/>
        <w:bottom w:val="none" w:sz="0" w:space="0" w:color="auto"/>
        <w:right w:val="none" w:sz="0" w:space="0" w:color="auto"/>
      </w:divBdr>
    </w:div>
    <w:div w:id="1575239379">
      <w:bodyDiv w:val="1"/>
      <w:marLeft w:val="0"/>
      <w:marRight w:val="0"/>
      <w:marTop w:val="0"/>
      <w:marBottom w:val="0"/>
      <w:divBdr>
        <w:top w:val="none" w:sz="0" w:space="0" w:color="auto"/>
        <w:left w:val="none" w:sz="0" w:space="0" w:color="auto"/>
        <w:bottom w:val="none" w:sz="0" w:space="0" w:color="auto"/>
        <w:right w:val="none" w:sz="0" w:space="0" w:color="auto"/>
      </w:divBdr>
    </w:div>
    <w:div w:id="1633747059">
      <w:bodyDiv w:val="1"/>
      <w:marLeft w:val="0"/>
      <w:marRight w:val="0"/>
      <w:marTop w:val="0"/>
      <w:marBottom w:val="0"/>
      <w:divBdr>
        <w:top w:val="none" w:sz="0" w:space="0" w:color="auto"/>
        <w:left w:val="none" w:sz="0" w:space="0" w:color="auto"/>
        <w:bottom w:val="none" w:sz="0" w:space="0" w:color="auto"/>
        <w:right w:val="none" w:sz="0" w:space="0" w:color="auto"/>
      </w:divBdr>
    </w:div>
    <w:div w:id="1664773358">
      <w:bodyDiv w:val="1"/>
      <w:marLeft w:val="0"/>
      <w:marRight w:val="0"/>
      <w:marTop w:val="0"/>
      <w:marBottom w:val="0"/>
      <w:divBdr>
        <w:top w:val="none" w:sz="0" w:space="0" w:color="auto"/>
        <w:left w:val="none" w:sz="0" w:space="0" w:color="auto"/>
        <w:bottom w:val="none" w:sz="0" w:space="0" w:color="auto"/>
        <w:right w:val="none" w:sz="0" w:space="0" w:color="auto"/>
      </w:divBdr>
    </w:div>
    <w:div w:id="1687175925">
      <w:bodyDiv w:val="1"/>
      <w:marLeft w:val="0"/>
      <w:marRight w:val="0"/>
      <w:marTop w:val="0"/>
      <w:marBottom w:val="0"/>
      <w:divBdr>
        <w:top w:val="none" w:sz="0" w:space="0" w:color="auto"/>
        <w:left w:val="none" w:sz="0" w:space="0" w:color="auto"/>
        <w:bottom w:val="none" w:sz="0" w:space="0" w:color="auto"/>
        <w:right w:val="none" w:sz="0" w:space="0" w:color="auto"/>
      </w:divBdr>
    </w:div>
    <w:div w:id="1762603317">
      <w:bodyDiv w:val="1"/>
      <w:marLeft w:val="0"/>
      <w:marRight w:val="0"/>
      <w:marTop w:val="0"/>
      <w:marBottom w:val="0"/>
      <w:divBdr>
        <w:top w:val="none" w:sz="0" w:space="0" w:color="auto"/>
        <w:left w:val="none" w:sz="0" w:space="0" w:color="auto"/>
        <w:bottom w:val="none" w:sz="0" w:space="0" w:color="auto"/>
        <w:right w:val="none" w:sz="0" w:space="0" w:color="auto"/>
      </w:divBdr>
    </w:div>
    <w:div w:id="1786341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5.moew.government.bg/wp-content/uploads/filebase/Nature/Biodiversity/Direktivi/92-43-EIO-BG.pdf"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yperlink" Target="http://www5.moew.government.bg/wp-content/uploads/filebase/Nature/Biodiversity/Direktivi/2009-147-EC-BirdDirective-BG.pdf"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FDE0DC-FB5E-447A-8B25-5C68FE132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1116</TotalTime>
  <Pages>165</Pages>
  <Words>59573</Words>
  <Characters>339571</Characters>
  <Application>Microsoft Office Word</Application>
  <DocSecurity>0</DocSecurity>
  <Lines>2829</Lines>
  <Paragraphs>796</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398348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Windows User</cp:lastModifiedBy>
  <cp:revision>2</cp:revision>
  <dcterms:created xsi:type="dcterms:W3CDTF">2025-07-13T08:06:00Z</dcterms:created>
  <dcterms:modified xsi:type="dcterms:W3CDTF">2025-08-08T07:26:00Z</dcterms:modified>
</cp:coreProperties>
</file>